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F17" w:rsidRDefault="0030538A">
      <w:pPr>
        <w:spacing w:after="60" w:line="240" w:lineRule="auto"/>
        <w:ind w:right="20"/>
        <w:jc w:val="right"/>
        <w:rPr>
          <w:rFonts w:ascii="Times" w:eastAsia="Times" w:hAnsi="Times" w:cs="Times"/>
          <w:sz w:val="28"/>
          <w:szCs w:val="28"/>
        </w:rPr>
      </w:pPr>
      <w:bookmarkStart w:id="0" w:name="_GoBack"/>
      <w:bookmarkEnd w:id="0"/>
      <w:r>
        <w:rPr>
          <w:rFonts w:ascii="Times" w:eastAsia="Times" w:hAnsi="Times" w:cs="Times"/>
          <w:sz w:val="28"/>
          <w:szCs w:val="28"/>
        </w:rPr>
        <w:t>ЗАТВЕРДЖЕНО</w:t>
      </w:r>
    </w:p>
    <w:p w:rsidR="002C0F17" w:rsidRDefault="0030538A">
      <w:pPr>
        <w:spacing w:line="240" w:lineRule="auto"/>
        <w:ind w:right="20"/>
        <w:jc w:val="right"/>
        <w:rPr>
          <w:rFonts w:ascii="Times" w:eastAsia="Times" w:hAnsi="Times" w:cs="Times"/>
          <w:sz w:val="28"/>
          <w:szCs w:val="28"/>
        </w:rPr>
      </w:pPr>
      <w:r>
        <w:rPr>
          <w:rFonts w:ascii="Times" w:eastAsia="Times" w:hAnsi="Times" w:cs="Times"/>
          <w:sz w:val="28"/>
          <w:szCs w:val="28"/>
        </w:rPr>
        <w:t>рішенням Івано-Франківської міської ради</w:t>
      </w:r>
    </w:p>
    <w:p w:rsidR="002C0F17" w:rsidRDefault="0030538A">
      <w:pPr>
        <w:spacing w:after="60" w:line="240" w:lineRule="auto"/>
        <w:jc w:val="right"/>
        <w:rPr>
          <w:rFonts w:ascii="Times" w:eastAsia="Times" w:hAnsi="Times" w:cs="Times"/>
          <w:sz w:val="28"/>
          <w:szCs w:val="28"/>
        </w:rPr>
      </w:pPr>
      <w:r>
        <w:rPr>
          <w:rFonts w:ascii="Times" w:eastAsia="Times" w:hAnsi="Times" w:cs="Times"/>
          <w:sz w:val="28"/>
          <w:szCs w:val="28"/>
        </w:rPr>
        <w:t>від _________________  № ______________</w:t>
      </w:r>
    </w:p>
    <w:p w:rsidR="002C0F17" w:rsidRDefault="002C0F17">
      <w:pPr>
        <w:spacing w:after="6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0F17" w:rsidRDefault="0030538A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ПОЛОЖЕННЯ МІСЬКОЇ ЦІЛЬОВОЇ ПРОГРАМИ “ПАРТИЦИПАТОРНЕ БЮДЖЕТУВАННЯ (БЮДЖЕТ УЧАСТІ) У ІВАНО-ФРАНКІВСЬКІЙ МІСЬКІЙ ТЕРИТОРІАЛЬНІЙ ГРОМАДІ”.</w:t>
      </w:r>
    </w:p>
    <w:p w:rsidR="002C0F17" w:rsidRDefault="00021630">
      <w:pPr>
        <w:spacing w:before="48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48"/>
          <w:szCs w:val="48"/>
          <w:lang w:eastAsia="uk-U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 xml:space="preserve">1. </w:t>
      </w:r>
      <w:r w:rsidR="0030538A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>ЗАГАЛЬНІ ПОЛОЖЕННЯ ТА ТЕРМІНОЛОГІЯ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0216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Положення міської цільової програми “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Партиципаторне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бюджетування (бюджет участі) у Івано-Франківській міській територіальній громаді” (далі – Положення) регламентує організаційно-правові питання, пов’язані з процесом бюджету участі у Івано-Франківській міській територіальній громаді для підтримки ініціатив щодо вирішення питань місцевого значення.</w:t>
      </w:r>
    </w:p>
    <w:p w:rsidR="002C0F17" w:rsidRDefault="00021630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  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Наведені у Положенні терміни використовуються в таких значеннях: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бюджет участі – інструмент прямої демократії, що передбачає в установленому Положенням порядку участь мешканців у розподілі частини коштів міського бюджету та залучення мешканців до вирішення питань місцевого значення шляхом визначення в ході відкритого голосування об’єктів витрачання бюджетних коштів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), а також подальшого моніторингу і контролю за реалізацією визначених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мешканці – особи, які проживають на території Івано-Франківської міської ради, та відповідно до вимог Положення мають право брати участь у реалізації механізму бюджету участі;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 участі (далі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– оформлена відповідно до вимог Положення ініціатива, що спрямована на вирішення питань місцевого значення територіальних громад населених пунктів, що входять до складу Івано-Франківської міської ради;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автор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 участі (далі – автор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– особа, яка відповідно до вимог Положення має право подавати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 участі;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відповідальний структурний підрозділ Івано-Франківської міської ради (далі– Відповідальний підрозділ) – визначений Івано-Франківським міським головою структурний підрозділ Івано-Франківської міської ради, який забезпечує координацію та організацію роботи в рамках бюджету участі;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голосування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процедура визначення мешканцями у порядку, встановленому Положенням,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-переможців шляхом відкритого голосування;</w:t>
      </w:r>
    </w:p>
    <w:p w:rsidR="002C0F17" w:rsidRDefault="0030538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електронна система (сайт бюджету участі) – загальнодоступна інформаційна система керування процесами у рамках реалізації бюджету участі, що забезпечує автоматизацію процесів подання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заявок, їхнього опрацювання та оприлюднення допущених до голосування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голосування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зв’язку з авторами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оприлюднення інформації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-переможці та стан їхньої реалізації, а також підсумкових звітів про реалізацію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C0F17" w:rsidRDefault="0030538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робоча група з питань бюджету участі (Робоча група) – колегіальний постійно діючий орган, що створюється з метою організації роботи в рамках бюджету участі. </w:t>
      </w:r>
    </w:p>
    <w:p w:rsidR="002C0F17" w:rsidRDefault="00021630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  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Цілі бюджету участі: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активізувати мешканців для гуртування навколо спільних ідей, потреб, ініціатив;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вирішити локальні проблеми мешканців.</w:t>
      </w:r>
    </w:p>
    <w:p w:rsidR="002C0F17" w:rsidRDefault="00021630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    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Фінансування заходів і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 участі здійснюється за рахунок коштів бюджету міської територіальної громади. Загальний розмір коштів бюджету участі визначається міською радою на відповідний бюджетний рік.</w:t>
      </w:r>
    </w:p>
    <w:p w:rsidR="002C0F17" w:rsidRDefault="002C0F17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0F17" w:rsidRDefault="00021630">
      <w:pPr>
        <w:spacing w:after="60" w:line="240" w:lineRule="auto"/>
        <w:ind w:right="2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 xml:space="preserve">2. </w:t>
      </w:r>
      <w:r w:rsidR="0030538A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>ПРИНЦИПИ</w:t>
      </w:r>
    </w:p>
    <w:p w:rsidR="002C0F17" w:rsidRDefault="00021630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  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Бюджет участі у Івано-Франківській міській територіальній громаді базується на таких принципах: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результати процедури бюджету участі є обов’язковими до виконання – ті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 участі, які набрали найбільшу кількість голосів і визначені для подальшої реалізації, підлягають подальшому виконанню органами місцевого самоврядування Івано-Франківської міської територіальної громади;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прозорість та відкритість процедури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бюджет участі повинен базуватись на зрозумілих для учасників правилах, що є загальнодоступними для ознайомлення всіма потенційними учасниками до початку процедури бюджету участі. Встановлені правила не повинні змінюватися в рамках річного циклу бюджету участі;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інклюзивний процес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процесу бюджету участі повинні мати змогу долучатися будь-які категорії населення без обмежень, в тому числі вразливі верстви населення;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обговорення за участю мешканців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бюджет участі повинен базуватися на залученні та стимулюванні мешканців до обговорень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ідей і ініціатив для вироблення узгодженої позиції щодо вирішення проблем місцевого значення. Вибір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для подальшої реалізації повинен бути ефектом попередньо проведеного обговорення і дебатів між мешканцями щодо їхніх потреб і пріоритетів;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стратегічне планування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бюджет участі повинен бути пов'язаний із довгостроковими перспективами як цільовий постійно діючий механізм для прийняття мешканцями спільних рішень стосовно подальшого розвитку громади та задоволення її локальних потреб.</w:t>
      </w:r>
    </w:p>
    <w:p w:rsidR="002C0F17" w:rsidRDefault="0030538A">
      <w:pPr>
        <w:spacing w:before="24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2C0F17">
      <w:pPr>
        <w:spacing w:before="24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0F17" w:rsidRDefault="00021630">
      <w:pPr>
        <w:spacing w:before="48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48"/>
          <w:szCs w:val="48"/>
          <w:lang w:eastAsia="uk-U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lastRenderedPageBreak/>
        <w:t xml:space="preserve">3. </w:t>
      </w:r>
      <w:r w:rsidR="0030538A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>ОРГАНІЗАЦІЯ РОБОТИ</w:t>
      </w:r>
    </w:p>
    <w:p w:rsidR="002C0F17" w:rsidRDefault="00021630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  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Цикл бюджету участі включає такі етапи:</w:t>
      </w:r>
    </w:p>
    <w:p w:rsidR="002C0F17" w:rsidRDefault="0002163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</w:t>
      </w:r>
      <w:r w:rsidR="005329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інформаційно-освітня кампанія,</w:t>
      </w:r>
    </w:p>
    <w:p w:rsidR="002C0F17" w:rsidRDefault="0053297C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3.1.2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підготовка і подання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</w:p>
    <w:p w:rsidR="002C0F17" w:rsidRDefault="0002163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 розгляд і перевірка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</w:p>
    <w:p w:rsidR="002C0F17" w:rsidRDefault="0002163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 голосування за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</w:p>
    <w:p w:rsidR="002C0F17" w:rsidRDefault="0053297C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3.1.5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визначення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для реалізації,</w:t>
      </w:r>
    </w:p>
    <w:p w:rsidR="002C0F17" w:rsidRDefault="0002163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3.1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.6 реалізація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моніторинг.</w:t>
      </w:r>
    </w:p>
    <w:p w:rsidR="002C0F17" w:rsidRDefault="0071047D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3.2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  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Строки, впродовж яких відбувається кожен етап з циклу бюджету участі визначаються на засіданні робочої групи з питань бюджету участі та затверджуються розпорядженням Івано-Франківського міського голови.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Під час організації роботи з подання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заявок, голосування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реалізації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забезпечується участь вразливих категорій населення, в тому числі людей з інвалідністю,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маломобільних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осіб.</w:t>
      </w:r>
    </w:p>
    <w:p w:rsidR="002C0F17" w:rsidRDefault="0071047D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    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Координацію діяльності, пов’язаної з усіма етапами циклу бюджету участі, здійснює Відповідальний підрозділ.</w:t>
      </w:r>
    </w:p>
    <w:p w:rsidR="002C0F17" w:rsidRDefault="00881ECD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3.4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 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автоматизації керування процесами бюджету участі забезпечується функціонування електронної системи (сайту бюджету участі). </w:t>
      </w:r>
    </w:p>
    <w:p w:rsidR="002C0F17" w:rsidRDefault="00881ECD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3.5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сайті бюджету участі оприлюднюється: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нормативно-правова база бюджету участі;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основна інформація про бюджет участі із зазначенням виділеної суми коштів на реалізацію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опис кожного етапу циклу бюджету участі із часовими рамками та роз’ясненням послідовності дій для кожного етапу;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контакти посадових осіб Відповідального підрозділу та відповідальних посадових осіб розпорядників бюджетних коштів, що забезпечують організацію та реалізацію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 участі (прізвище, ім’я, по батькові, посада, адреса, контактні номери телефонів та електронної пошти);</w:t>
      </w:r>
    </w:p>
    <w:p w:rsidR="002C0F17" w:rsidRDefault="0030538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форма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та додатки до неї;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 участі, подані авторами, із зазначенням тих, які відхилені, із висновками за результатами розгляду, та тих, які допущені до голосування,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які визначені для реалізації;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адреси та час роботи місць для голосування;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підрахунок голосів у режимі реального часу із зазначенням дати та часу кожного голосу, результати голосування у форматі відкритих даних;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кількісний і персональний склад робочої групи з питань бюджету участі, час, місце та результати її засідань (протоколи);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зведена статистика бюджету участі (кількість поданих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загальна вартість усіх поданих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кількість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-переможців, кількість та вартість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видами і категоріями);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інформація про бюджет участі у форматі відкритих даних (посилання на набори відкритих даних, розміщених на порталі відкритих даних);</w:t>
      </w:r>
    </w:p>
    <w:p w:rsidR="002C0F17" w:rsidRDefault="0030538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інформація про реалізацію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-переможців бюджету участі із зазначенням вартості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заявленої на етапі подання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та за фактом  реалізації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 тому числі у форматі відкритих даних;</w:t>
      </w:r>
    </w:p>
    <w:p w:rsidR="002C0F17" w:rsidRDefault="00881ECD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3.6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Відповідальний підрозділ забезпечує оприлюднення інформації про бюджет участі у форматі відкритих даних.</w:t>
      </w:r>
    </w:p>
    <w:p w:rsidR="002C0F17" w:rsidRDefault="00881ECD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Розпорядженнями Івано-Франківського міського голови (рішеннями виконавчого комітету Івано-Франківської міської ради) затверджуються: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кількісний та персональний склад робочої групи з питань бюджету участі, регламент її діяльності;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тривалість циклу бюджету участі, строки кожного з етапів, порядок подання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перелік місць для голосування;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Розробку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розпоряджень Івано-Франківського міського голови здійснює Відповідальний підрозділ.</w:t>
      </w:r>
    </w:p>
    <w:p w:rsidR="002C0F17" w:rsidRDefault="00AF0ED8">
      <w:pPr>
        <w:spacing w:before="48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48"/>
          <w:szCs w:val="48"/>
          <w:lang w:eastAsia="uk-U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 xml:space="preserve">4. </w:t>
      </w:r>
      <w:r w:rsidR="0030538A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>РОБОЧА ГРУПА З ПИТАНЬ БЮДЖЕТУ УЧАСТІ</w:t>
      </w:r>
    </w:p>
    <w:p w:rsidR="002C0F17" w:rsidRDefault="00AF0ED8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організації роботи створюється робоча група з питань бюджету участі (Робоча група).</w:t>
      </w:r>
    </w:p>
    <w:p w:rsidR="002C0F17" w:rsidRDefault="00AF0ED8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Завданнями Робочої групи є: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визначення тривалості етапів у рамках циклу бюджету участі;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розгляд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поданих в рамках бюджету участі;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відстеження дотримання правил під час організації подання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голосування;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здійснення моніторингу за ходом голосування (організація моніторингу);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здійснення моніторингу за реалізацією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проведення оцінки процедури бюджету участі за підсумками кожного року;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розгляд та вирішення питань, що виникають на кожному з етапів бюджету участі;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проведення оцінки за результатами реалізації кожного циклу бюджету участі та підготовка пропозицій щодо вдосконалення процедури бюджету участі.</w:t>
      </w:r>
    </w:p>
    <w:p w:rsidR="002C0F17" w:rsidRDefault="00AF0ED8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4.3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Робоча група розглядає всі пропозиції, зауваження, скарги, які подані на будь-якому з етапів бюджету участі. Порядок подання і розгляду пропозицій, зауважень, скарг визначається регламентом діяльності Робочої групи, що затверджується розпорядженням Івано-Франківського міського голови.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разі виявлення порушень на будь-якому з етапів бюджет участі такі питання розглядаються на засіданні Робочої групи у порядку, передбаченому регламентом її діяльності.</w:t>
      </w:r>
    </w:p>
    <w:p w:rsidR="002C0F17" w:rsidRDefault="00AF0ED8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4.4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Робоча група формується у складі мешканців міста, представників громадських організацій, депутатів міської ради, посадових осіб місцевого самоврядування, інших заінтересованих осіб.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Максимальна кількість учасників Робочої групи не повинна перевищувати 15 осіб.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Кількість посадових осіб місцевого самоврядування – працівників структурних підрозділів Івано-Франківської міської ради та її виконавчого комітету – не повинна перевищувати 50% від загальної кількості учасників Робочої групи. Кількість та персональний склад цих учасників визначає Івано-Франківський міський голова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час воєнного стану робоча група формується у складі посадових осіб місцевого самоврядування та депутатів міської ради (за згодою).</w:t>
      </w:r>
    </w:p>
    <w:p w:rsidR="002C0F17" w:rsidRDefault="00AF0ED8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4.5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Максимальна кількість учасників Робочої групи не повинна перевищувати 15 осіб.</w:t>
      </w:r>
    </w:p>
    <w:p w:rsidR="002C0F17" w:rsidRDefault="00AF0ED8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4.6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Інформування про формування Робочої групи та проведення здійснює Відповідальний підрозділ шляхом:</w:t>
      </w:r>
    </w:p>
    <w:p w:rsidR="002C0F17" w:rsidRDefault="0030538A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розміщення публікацій на сайті бюджету участі, офіційному сайті виконавчого комітету Івано-Франківської міської ради, в тому числі в розділі «Анонси» або розміщення публікацій у соціальній мережі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Фейсбук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за посиланням </w:t>
      </w:r>
      <w:hyperlink r:id="rId6">
        <w:r>
          <w:rPr>
            <w:rStyle w:val="InternetLink"/>
            <w:rFonts w:ascii="Times New Roman" w:eastAsia="Times New Roman" w:hAnsi="Times New Roman" w:cs="Times New Roman"/>
            <w:sz w:val="28"/>
            <w:szCs w:val="28"/>
            <w:lang w:eastAsia="uk-UA"/>
          </w:rPr>
          <w:t>https://www.facebook.com/profile.php?id=100069190574077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2C0F17" w:rsidRDefault="00AF0ED8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4.7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Голова Робочої групи обирається на першому засіданні шляхом відкритого голосування у порядку, передбаченому регламентом діяльності Робочої групи. Секретарем Робочої групи є за посадою представник Відповідального підрозділу.</w:t>
      </w:r>
    </w:p>
    <w:p w:rsidR="002C0F17" w:rsidRDefault="002C4A4F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Персональний склад Робочої групи в умовах воєнного стану затверджується до його закінчення.</w:t>
      </w:r>
    </w:p>
    <w:p w:rsidR="002C0F17" w:rsidRDefault="002C4A4F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Учасники Робочої групи можуть бути авторами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разі розгляду та прийняття рішень на засіданні Робочої групи щодо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авторами яких є учасники Робочої групи, вони не беруть участі у голосуванні.</w:t>
      </w:r>
    </w:p>
    <w:p w:rsidR="002C0F17" w:rsidRDefault="00F5211F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4.10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Відповідальний підрозділ забезпечує розробку регламенту діяльності Робочої групи за участі відібраних для роботи у її складі осіб.</w:t>
      </w:r>
    </w:p>
    <w:p w:rsidR="002C0F17" w:rsidRDefault="00F5211F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4.11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Матеріально-технічне забезпечення діяльності Робочої групи покладається на виконавчий комітет Івано-Франківської міської ради.</w:t>
      </w:r>
    </w:p>
    <w:p w:rsidR="002C0F17" w:rsidRDefault="00520625">
      <w:pPr>
        <w:spacing w:before="48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48"/>
          <w:szCs w:val="48"/>
          <w:lang w:eastAsia="uk-U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 xml:space="preserve">5. </w:t>
      </w:r>
      <w:r w:rsidR="0030538A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>ІНФОРМАЦІЙНО-ОСВІТНЯ КАМПАНІЯ</w:t>
      </w:r>
    </w:p>
    <w:p w:rsidR="002C0F17" w:rsidRDefault="00B75CA2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5.1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Всі етапи бюджету участі супроводжуються проведенням інформаційно-освітньої кампанії.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</w:t>
      </w:r>
      <w:r w:rsidR="00B75C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Інформаційно-освітня кампанія спрямована на ознайомлення мешканців з хронологією та строками проведення заходів, процедурою подання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голосування за них, перебігом всіх подій в рамках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циклу бюджету участі, поданими та допущеними до голосування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результатами голосування, станом реалізації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C0F17" w:rsidRDefault="00B75CA2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Інформаційно-освітня кампанія забезпечується через електронну систему (сайт бюджету участі), соціальні мережі, засоби масової інформації та онлайн-видання, шляхом виготовлення і розповсюдження друкованої продукції, аудіо-, відеоматеріалів, а також шляхом проведення публічних заходів (зустрічей, круглих столів, прес-конференцій тощо).</w:t>
      </w:r>
    </w:p>
    <w:p w:rsidR="002C0F17" w:rsidRDefault="00533B6C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Автори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самостійно організовують інформаційні заходи для мешканців з роз’ясненням власного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метою отримання підтримки мешканців під час голосування.</w:t>
      </w:r>
    </w:p>
    <w:p w:rsidR="002C0F17" w:rsidRDefault="00533B6C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Відповідальний підрозділ організовує проведення інформаційно-освітньої кампанії, а саме: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проводить публічні заходи із заінтересованими особами з наданням роз’яснень щодо бюджету участі;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організовує інформаційні зустрічі й обговорення з авторами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для промоції їхніх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налагоджує партнерство серед авторів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організовує зустрічі потенційних авторів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а також авторів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 тому числі переможців, попередніх періодів для обміну досвідом</w:t>
      </w:r>
    </w:p>
    <w:p w:rsidR="002C0F17" w:rsidRDefault="008526FB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5.6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Інформаційна кампанія, яку проводять автори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повинна здійснюватися на засадах доброчесності, що передбачає дотримання таких вимог: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автори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 повинні використовувати неточну, недостовірну інформацію, яка спотворює зміст їхніх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або дискредитує інших авторів, вводить або може ввести в оману мешканців;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забороняється надавати чи обіцяти мешканцям грошові кошти або інше майно, переваги, пільги, послуги матеріального або нематеріального характеру за вчинення або невчинення будь-яких дій щодо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 участі. </w:t>
      </w:r>
    </w:p>
    <w:p w:rsidR="002C0F17" w:rsidRDefault="008526FB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5.7</w:t>
      </w:r>
      <w:r w:rsidR="003053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. У разі, якщо такі дії авторів буде виявлено, робоча група може зняти </w:t>
      </w:r>
      <w:proofErr w:type="spellStart"/>
      <w:r w:rsidR="003053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проєкт</w:t>
      </w:r>
      <w:proofErr w:type="spellEnd"/>
      <w:r w:rsidR="003053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з голосування або передбачити інші заходи, щодо </w:t>
      </w:r>
      <w:proofErr w:type="spellStart"/>
      <w:r w:rsidR="003053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неповторення</w:t>
      </w:r>
      <w:proofErr w:type="spellEnd"/>
      <w:r w:rsidR="003053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подібних дій у майбутньому.</w:t>
      </w:r>
    </w:p>
    <w:p w:rsidR="002C0F17" w:rsidRDefault="008526FB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5.8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Будь-яка особа може звертатися за консультацією до Відповідального підрозділу для отримання роз’яснень про умови реалізації бюджету участі. Звернення може здійснюватися в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усній або письмовій формі (шляхом особистого відвідування Відповідального підрозділу, телефоном, електронною поштою, через електронну систему, офіційну сторінку бюджету участі в соціальних мережах).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Посадова особа Відповідального підрозділу надає роз’яснення не пізніше двох робочих днів від дати звернення у тій формі, у якій здійснено звернення (у разі особистого відвідування - у формі, узгодженій із особою під час зустрічі).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Якщо посадова особа Відповідального підрозділу не може надати відповідь самостійно, вона звертається впродовж двох робочих днів від дати звернення до компетентного структурного підрозділу міської ради.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Посадові особи компетентного структурного підрозділу міської ради повинні надати відповідь впродовж двох робочих днів від дати звернення посадової особи Відповідального підрозділу. Посадова особа Відповідального підрозділу інформує автора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щодо його запиту впродовж двох робочих днів після отримання відповіді від посадових осіб компетентного структурного підрозділу міської ради.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Загальний строк надання відповіді на звернення не повинен перевищувати шести робочих днів від дати звернення.</w:t>
      </w:r>
    </w:p>
    <w:p w:rsidR="002C0F17" w:rsidRPr="003D5AD1" w:rsidRDefault="001E485A">
      <w:pPr>
        <w:spacing w:before="48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48"/>
          <w:szCs w:val="48"/>
          <w:lang w:eastAsia="uk-UA"/>
        </w:rPr>
      </w:pPr>
      <w:r w:rsidRPr="003D5AD1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 xml:space="preserve">6. </w:t>
      </w:r>
      <w:r w:rsidR="0030538A" w:rsidRPr="003D5AD1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>ПІДГОТОВКА І ПОДАННЯ ПРОЄКТІВ</w:t>
      </w:r>
    </w:p>
    <w:p w:rsidR="002C0F17" w:rsidRPr="003D5AD1" w:rsidRDefault="001E485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30538A"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30538A" w:rsidRPr="003D5AD1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proofErr w:type="spellStart"/>
      <w:r w:rsidR="0030538A"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="0030538A"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 участі поділяються на такі види:</w:t>
      </w:r>
    </w:p>
    <w:p w:rsidR="002C0F17" w:rsidRPr="003D5AD1" w:rsidRDefault="001E485A" w:rsidP="001E48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30538A"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.1.</w:t>
      </w:r>
      <w:r w:rsid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24607"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30538A"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Допом</w:t>
      </w:r>
      <w:r w:rsidR="00824607"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ога ЗСУ»</w:t>
      </w:r>
      <w:r w:rsidR="0048440F" w:rsidRPr="003D5AD1">
        <w:rPr>
          <w:rFonts w:ascii="Times New Roman" w:hAnsi="Times New Roman" w:cs="Times New Roman"/>
        </w:rPr>
        <w:t xml:space="preserve"> - </w:t>
      </w:r>
      <w:r w:rsidR="0048440F" w:rsidRPr="003D5AD1">
        <w:rPr>
          <w:rFonts w:ascii="Times New Roman" w:hAnsi="Times New Roman" w:cs="Times New Roman"/>
          <w:sz w:val="28"/>
          <w:szCs w:val="28"/>
        </w:rPr>
        <w:t xml:space="preserve">проекти, спрямовані </w:t>
      </w:r>
      <w:r w:rsidR="0030538A"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забезпечення військових необхідними засобами та обладнанням, які сприяють зміцненню обороноздатності та безпеки.</w:t>
      </w:r>
      <w:r w:rsidR="00CF425B"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Види проектів, які можуть бути по</w:t>
      </w:r>
      <w:r w:rsidR="0048440F"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дані у категорію </w:t>
      </w:r>
      <w:r w:rsidR="00CF425B"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r w:rsidR="00F030B9"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аведені у додатку 6</w:t>
      </w:r>
      <w:r w:rsidR="005D756D"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3D5AD1">
        <w:rPr>
          <w:rFonts w:ascii="Times New Roman" w:hAnsi="Times New Roman" w:cs="Times New Roman"/>
        </w:rPr>
        <w:t xml:space="preserve"> </w:t>
      </w:r>
      <w:r w:rsidR="00F030B9"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30538A"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ошторисна вартість</w:t>
      </w:r>
      <w:r w:rsidR="00F030B9"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F030B9"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F030B9"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 повинна перевищувати</w:t>
      </w:r>
      <w:r w:rsidR="003726BB"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500 тис. грн</w:t>
      </w:r>
      <w:r w:rsidR="0030538A"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; </w:t>
      </w:r>
    </w:p>
    <w:p w:rsidR="002C0F17" w:rsidRPr="003D5AD1" w:rsidRDefault="0030538A" w:rsidP="001E485A">
      <w:pPr>
        <w:shd w:val="clear" w:color="auto" w:fill="FFFFFF"/>
        <w:spacing w:after="0" w:line="240" w:lineRule="auto"/>
        <w:ind w:firstLine="360"/>
        <w:jc w:val="both"/>
      </w:pPr>
      <w:r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Обов’язкові вимоги до </w:t>
      </w:r>
      <w:proofErr w:type="spellStart"/>
      <w:r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2C0F17" w:rsidRPr="003D5AD1" w:rsidRDefault="0030538A" w:rsidP="0053297C">
      <w:pPr>
        <w:pStyle w:val="a7"/>
        <w:shd w:val="clear" w:color="auto" w:fill="FFFFFF"/>
        <w:spacing w:after="0" w:line="240" w:lineRule="auto"/>
        <w:ind w:left="1080" w:hanging="371"/>
        <w:jc w:val="both"/>
      </w:pPr>
      <w:r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Наявність детального обґрунтування потреби для ЗСУ.</w:t>
      </w:r>
    </w:p>
    <w:p w:rsidR="002C0F17" w:rsidRPr="0053297C" w:rsidRDefault="0050223F" w:rsidP="0053297C">
      <w:pPr>
        <w:pStyle w:val="a7"/>
        <w:shd w:val="clear" w:color="auto" w:fill="FFFFFF"/>
        <w:spacing w:after="0" w:line="240" w:lineRule="auto"/>
        <w:ind w:left="709"/>
        <w:jc w:val="both"/>
      </w:pPr>
      <w:r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proofErr w:type="spellStart"/>
      <w:r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обов</w:t>
      </w:r>
      <w:proofErr w:type="spellEnd"/>
      <w:r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’</w:t>
      </w:r>
      <w:proofErr w:type="spellStart"/>
      <w:r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язково</w:t>
      </w:r>
      <w:proofErr w:type="spellEnd"/>
      <w:r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має бути звернення від військової частини на </w:t>
      </w:r>
      <w:proofErr w:type="spellStart"/>
      <w:r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ім</w:t>
      </w:r>
      <w:proofErr w:type="spellEnd"/>
      <w:r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’</w:t>
      </w:r>
      <w:r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r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 w:rsidR="008D59BD" w:rsidRP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міського голови про потребу.</w:t>
      </w:r>
    </w:p>
    <w:p w:rsidR="002C0F17" w:rsidRPr="0051392D" w:rsidRDefault="001E48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30538A"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D5A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1.2</w:t>
      </w:r>
      <w:r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30538A"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="0030538A"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благоустрою</w:t>
      </w:r>
      <w:r w:rsidR="0030538A"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:</w:t>
      </w:r>
    </w:p>
    <w:p w:rsidR="002C0F17" w:rsidRPr="0051392D" w:rsidRDefault="00824607" w:rsidP="0053297C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«Благоустрій малих вулиць» - </w:t>
      </w:r>
      <w:proofErr w:type="spellStart"/>
      <w:r w:rsidR="0030538A"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="0030538A"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які передбачають надання по</w:t>
      </w:r>
      <w:r w:rsidR="003726BB"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слуг з благоустрою малих вулиць</w:t>
      </w:r>
      <w:r w:rsidR="00A9605C"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3726BB"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30538A"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="0030538A"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можуть включати заміну покриття, площею до 2000 м² - вартість реалізації</w:t>
      </w:r>
      <w:r w:rsidR="00F71D9B"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яких становить</w:t>
      </w:r>
      <w:r w:rsidR="0030538A"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</w:t>
      </w:r>
      <w:r w:rsidR="0030538A" w:rsidRPr="0051392D">
        <w:rPr>
          <w:rFonts w:ascii="Times New Roman" w:eastAsia="Times New Roman" w:hAnsi="Times New Roman" w:cs="Times New Roman"/>
          <w:color w:val="030303"/>
          <w:sz w:val="28"/>
          <w:szCs w:val="28"/>
          <w:lang w:eastAsia="uk-UA"/>
        </w:rPr>
        <w:t>3</w:t>
      </w:r>
      <w:r w:rsidR="0030538A" w:rsidRPr="0051392D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="003726BB"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млн грн</w:t>
      </w:r>
      <w:r w:rsidR="0030538A"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2C0F17" w:rsidRPr="0051392D" w:rsidRDefault="00824607" w:rsidP="0053297C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30538A"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>Благоустрій</w:t>
      </w:r>
      <w:r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- </w:t>
      </w:r>
      <w:proofErr w:type="spellStart"/>
      <w:r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проєкти</w:t>
      </w:r>
      <w:proofErr w:type="spellEnd"/>
      <w:r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які передбачають </w:t>
      </w:r>
      <w:r w:rsidR="0030538A"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послуги із заміни покриття на тротуарах, пішохідних доріжках, з влаштування вуличних меблів та інших елементів, тощо</w:t>
      </w:r>
      <w:r w:rsidR="003726BB"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30538A"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>, кошторисна вартість</w:t>
      </w:r>
      <w:r w:rsidR="003726BB"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яких не перевищує 500 тис. грн</w:t>
      </w:r>
      <w:r w:rsidR="0030538A"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   </w:t>
      </w:r>
    </w:p>
    <w:p w:rsidR="002C0F17" w:rsidRPr="0051392D" w:rsidRDefault="003D5AD1">
      <w:pPr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6.1.3</w:t>
      </w:r>
      <w:r w:rsidR="00C25525"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Освітні </w:t>
      </w:r>
      <w:proofErr w:type="spellStart"/>
      <w:r w:rsidR="00C25525"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проєкти</w:t>
      </w:r>
      <w:proofErr w:type="spellEnd"/>
      <w:r w:rsidR="0030538A"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2C0F17" w:rsidRPr="0051392D" w:rsidRDefault="00824607" w:rsidP="0053297C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«Шкільні» - </w:t>
      </w:r>
      <w:proofErr w:type="spellStart"/>
      <w:r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проєкти</w:t>
      </w:r>
      <w:proofErr w:type="spellEnd"/>
      <w:r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30538A"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 передбачають реалізацію в закладах загальної середньої освіти, включаючи прилеглу територію. Вартість реалізації</w:t>
      </w:r>
      <w:r w:rsidR="003726BB"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яких становить до 500 тис. грн.</w:t>
      </w:r>
    </w:p>
    <w:p w:rsidR="002C0F17" w:rsidRPr="0051392D" w:rsidRDefault="00824607" w:rsidP="0053297C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30538A"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>Дошкільні</w:t>
      </w:r>
      <w:r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- </w:t>
      </w:r>
      <w:proofErr w:type="spellStart"/>
      <w:r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30538A"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>роєкти</w:t>
      </w:r>
      <w:proofErr w:type="spellEnd"/>
      <w:r w:rsidR="0030538A"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які передбачають реалізацію в закладах дошкільної освіти, включаючи прилеглу територію. Вартість реалізації</w:t>
      </w:r>
      <w:r w:rsidR="003726BB"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яких становить до 500 тис. грн.</w:t>
      </w:r>
    </w:p>
    <w:p w:rsidR="002C0F17" w:rsidRPr="003D5AD1" w:rsidRDefault="00824607" w:rsidP="0053297C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30538A"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Позашкільні, </w:t>
      </w:r>
      <w:proofErr w:type="spellStart"/>
      <w:r w:rsidR="0030538A"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профтехосвіта</w:t>
      </w:r>
      <w:proofErr w:type="spellEnd"/>
      <w:r w:rsidR="0030538A"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інші</w:t>
      </w:r>
      <w:r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- </w:t>
      </w:r>
      <w:proofErr w:type="spellStart"/>
      <w:r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30538A"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>роєкти</w:t>
      </w:r>
      <w:proofErr w:type="spellEnd"/>
      <w:r w:rsidR="0030538A" w:rsidRPr="005139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які передбачають реалізацію в закладах професійно-технічної освіти або закладах позашкільної освіти та дитячо-юнацькі спортивні школи, включаючи прилеглу територію. Вартість реалізації яких становить до 500 тис. </w:t>
      </w:r>
      <w:r w:rsidR="0030538A" w:rsidRPr="003D5AD1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2C0F17" w:rsidRPr="003D5AD1" w:rsidRDefault="003D5AD1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6.1.4</w:t>
      </w:r>
      <w:r w:rsidR="00942042"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Інші </w:t>
      </w:r>
      <w:proofErr w:type="spellStart"/>
      <w:r w:rsidR="00942042"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проєкти</w:t>
      </w:r>
      <w:proofErr w:type="spellEnd"/>
      <w:r w:rsidR="00942042"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. </w:t>
      </w:r>
      <w:r w:rsidR="0030538A"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Вартість реаліза</w:t>
      </w:r>
      <w:r w:rsidR="00942042"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ції яких становить до 500 тис. г</w:t>
      </w:r>
      <w:r w:rsidR="0030538A"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рн.</w:t>
      </w:r>
    </w:p>
    <w:p w:rsidR="002C0F17" w:rsidRPr="003D5AD1" w:rsidRDefault="0030538A" w:rsidP="0053297C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Інші</w:t>
      </w:r>
      <w:r w:rsidR="006A7E02"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- </w:t>
      </w:r>
      <w:proofErr w:type="spellStart"/>
      <w:r w:rsidR="006A7E02"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</w:t>
      </w:r>
      <w:r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роєкти</w:t>
      </w:r>
      <w:proofErr w:type="spellEnd"/>
      <w:r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які не потрапляють під опис категорій </w:t>
      </w:r>
      <w:r w:rsidR="00D06D8F"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“Допомога</w:t>
      </w:r>
      <w:r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ЗСУ”, «</w:t>
      </w:r>
      <w:proofErr w:type="spellStart"/>
      <w:r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Проєкти</w:t>
      </w:r>
      <w:proofErr w:type="spellEnd"/>
      <w:r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благоустрою» та «Освітні </w:t>
      </w:r>
      <w:proofErr w:type="spellStart"/>
      <w:r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проєкти</w:t>
      </w:r>
      <w:proofErr w:type="spellEnd"/>
      <w:r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». </w:t>
      </w:r>
    </w:p>
    <w:p w:rsidR="002C0F17" w:rsidRPr="003D5AD1" w:rsidRDefault="006A7E02" w:rsidP="0053297C">
      <w:pPr>
        <w:pStyle w:val="a7"/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 xml:space="preserve">Доступність - </w:t>
      </w:r>
      <w:proofErr w:type="spellStart"/>
      <w:r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</w:t>
      </w:r>
      <w:r w:rsidR="0030538A"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роєкти</w:t>
      </w:r>
      <w:proofErr w:type="spellEnd"/>
      <w:r w:rsidR="0030538A"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які спрямовані на створення інклюзивного середовища, забезпечення рівних можливостей для всіх мешканців громади, особливо для осіб із інвалідністю, </w:t>
      </w:r>
      <w:proofErr w:type="spellStart"/>
      <w:r w:rsidR="0030538A"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маломобільних</w:t>
      </w:r>
      <w:proofErr w:type="spellEnd"/>
      <w:r w:rsidR="0030538A"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груп, людей похилого віку, осіб з інвалідністю внаслідок війни. </w:t>
      </w:r>
      <w:r w:rsidR="00312C6D"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Види проектів, які можуть бути подані у категорію «Доступність» наведені у додатку 7 до Положення.</w:t>
      </w:r>
    </w:p>
    <w:p w:rsidR="002C0F17" w:rsidRPr="0051392D" w:rsidRDefault="006A7E02">
      <w:pPr>
        <w:shd w:val="clear" w:color="auto" w:fill="FFFFFF"/>
        <w:spacing w:after="0" w:line="240" w:lineRule="auto"/>
        <w:jc w:val="both"/>
        <w:rPr>
          <w:color w:val="000000" w:themeColor="text1"/>
        </w:rPr>
      </w:pPr>
      <w:r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6</w:t>
      </w:r>
      <w:r w:rsidR="0030538A"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  <w:r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2.</w:t>
      </w:r>
      <w:r w:rsidR="0030538A"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30538A"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Проєкти</w:t>
      </w:r>
      <w:proofErr w:type="spellEnd"/>
      <w:r w:rsidR="0030538A" w:rsidRPr="003D5A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можуть бути:</w:t>
      </w:r>
    </w:p>
    <w:p w:rsidR="002C0F17" w:rsidRPr="0051392D" w:rsidRDefault="003053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Загальноміські </w:t>
      </w:r>
      <w:proofErr w:type="spellStart"/>
      <w:r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proofErr w:type="spellStart"/>
      <w:r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які стосуються/можуть стосуватися мешканців всього міста та реалізуються в місцях загального користування: загальноміські парки, сквери, вулиці, дороги, тротуари, будь-які інші об’єкти, до яких має або може мати доступ будь-який мешканець міста незалежно від місця проживання;</w:t>
      </w:r>
    </w:p>
    <w:p w:rsidR="002C0F17" w:rsidRDefault="003053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Локальні </w:t>
      </w:r>
      <w:proofErr w:type="spellStart"/>
      <w:r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proofErr w:type="spellStart"/>
      <w:r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Pr="00513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які стосуються окремих об’єктів чи територій (прибудинкова територія), об’єктів з обмеженим доступом або доступом лише окремих категорій мешканців, як-от: школярів, вихованців дитсадків та ін.</w:t>
      </w:r>
    </w:p>
    <w:p w:rsidR="002C0F17" w:rsidRPr="00A024B8" w:rsidRDefault="006A7E02">
      <w:pPr>
        <w:spacing w:after="60" w:line="240" w:lineRule="auto"/>
        <w:ind w:right="20"/>
        <w:jc w:val="both"/>
      </w:pPr>
      <w:r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6.3</w:t>
      </w:r>
      <w:r w:rsidR="005C05ED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На </w:t>
      </w:r>
      <w:proofErr w:type="spellStart"/>
      <w:r w:rsidR="005C05ED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="003313B8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категорії</w:t>
      </w:r>
      <w:r w:rsidR="005C05ED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«Допомога ЗСУ»</w:t>
      </w:r>
      <w:r w:rsidR="00824607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виділено 20 млн грн в одном</w:t>
      </w:r>
      <w:r w:rsidR="0030538A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його циклі.</w:t>
      </w:r>
    </w:p>
    <w:p w:rsidR="002C0F17" w:rsidRPr="00A024B8" w:rsidRDefault="006A7E02">
      <w:pPr>
        <w:spacing w:after="60" w:line="240" w:lineRule="auto"/>
        <w:ind w:right="20"/>
        <w:jc w:val="both"/>
      </w:pPr>
      <w:r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2633BA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</w:t>
      </w:r>
      <w:r w:rsidR="002633BA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</w:t>
      </w:r>
      <w:proofErr w:type="spellStart"/>
      <w:r w:rsidR="002633BA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30538A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роєкти</w:t>
      </w:r>
      <w:proofErr w:type="spellEnd"/>
      <w:r w:rsidR="0030538A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633BA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категорії «Благоустрій</w:t>
      </w:r>
      <w:r w:rsidR="00B115EF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 виділено 18 млн грн</w:t>
      </w:r>
      <w:r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одному його циклі</w:t>
      </w:r>
      <w:r w:rsidR="0030538A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та ділиться на категорії</w:t>
      </w:r>
      <w:r w:rsidR="0030538A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:</w:t>
      </w:r>
    </w:p>
    <w:p w:rsidR="002C0F17" w:rsidRPr="00A024B8" w:rsidRDefault="006A7E02">
      <w:pPr>
        <w:spacing w:after="60" w:line="240" w:lineRule="auto"/>
        <w:ind w:right="20"/>
        <w:jc w:val="both"/>
      </w:pPr>
      <w:r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6.4</w:t>
      </w:r>
      <w:r w:rsidR="0030538A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B80E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30538A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«</w:t>
      </w:r>
      <w:r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Благоустрій малих вулиць» </w:t>
      </w:r>
      <w:r w:rsidR="00B115EF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виділяється не більше 14 млн грн</w:t>
      </w:r>
      <w:r w:rsidR="0030538A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загальної суми бюджету участі.</w:t>
      </w:r>
    </w:p>
    <w:p w:rsidR="002C0F17" w:rsidRPr="00A024B8" w:rsidRDefault="001473FB">
      <w:pPr>
        <w:spacing w:after="60" w:line="240" w:lineRule="auto"/>
        <w:ind w:right="20"/>
        <w:jc w:val="both"/>
      </w:pPr>
      <w:r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6.4.2</w:t>
      </w:r>
      <w:r w:rsidR="0030538A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«Благоустр</w:t>
      </w:r>
      <w:r w:rsidR="00B115EF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ій» виділяється не більше 4 млн грн</w:t>
      </w:r>
      <w:r w:rsidR="0030538A" w:rsidRP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загальної суми бюджету участі.</w:t>
      </w:r>
    </w:p>
    <w:p w:rsidR="002C0F17" w:rsidRPr="00A024B8" w:rsidRDefault="001473FB">
      <w:pPr>
        <w:spacing w:after="60" w:line="240" w:lineRule="auto"/>
        <w:ind w:right="20"/>
        <w:jc w:val="both"/>
      </w:pPr>
      <w:r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30538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>5.</w:t>
      </w:r>
      <w:r w:rsidR="0030538A" w:rsidRPr="00A024B8">
        <w:rPr>
          <w:rFonts w:ascii="Times New Roman" w:eastAsia="Times New Roman" w:hAnsi="Times New Roman" w:cs="Times New Roman"/>
          <w:sz w:val="14"/>
          <w:szCs w:val="14"/>
          <w:lang w:eastAsia="uk-UA"/>
        </w:rPr>
        <w:t xml:space="preserve">  </w:t>
      </w:r>
      <w:r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категорію</w:t>
      </w:r>
      <w:r w:rsidR="004E0243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«Освітні </w:t>
      </w:r>
      <w:proofErr w:type="spellStart"/>
      <w:r w:rsidR="004E0243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проєкти</w:t>
      </w:r>
      <w:proofErr w:type="spellEnd"/>
      <w:r w:rsidR="004E0243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r w:rsidR="0030538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виділяється не </w:t>
      </w:r>
      <w:r w:rsidR="00EB75D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>більше 9 млн грн, з них 5 млн грн</w:t>
      </w:r>
      <w:r w:rsidR="0030538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="0030538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підкатего</w:t>
      </w:r>
      <w:r w:rsidR="00EB75D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>рію</w:t>
      </w:r>
      <w:proofErr w:type="spellEnd"/>
      <w:r w:rsidR="00EB75D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«Шкільні», та по 2 млн грн</w:t>
      </w:r>
      <w:r w:rsidR="0030538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="0030538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підкатегорії</w:t>
      </w:r>
      <w:proofErr w:type="spellEnd"/>
      <w:r w:rsidR="0030538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«Дошкільні» та «Позашкільні та </w:t>
      </w:r>
      <w:proofErr w:type="spellStart"/>
      <w:r w:rsidR="0030538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профтехосвіта</w:t>
      </w:r>
      <w:proofErr w:type="spellEnd"/>
      <w:r w:rsidR="0030538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</w:p>
    <w:p w:rsidR="002C0F17" w:rsidRDefault="004E0243">
      <w:pPr>
        <w:spacing w:after="60" w:line="240" w:lineRule="auto"/>
        <w:ind w:right="20"/>
        <w:jc w:val="both"/>
      </w:pPr>
      <w:r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30538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>6.</w:t>
      </w:r>
      <w:r w:rsidR="0030538A" w:rsidRPr="00A024B8">
        <w:rPr>
          <w:rFonts w:ascii="Times New Roman" w:eastAsia="Times New Roman" w:hAnsi="Times New Roman" w:cs="Times New Roman"/>
          <w:sz w:val="14"/>
          <w:szCs w:val="14"/>
          <w:lang w:eastAsia="uk-UA"/>
        </w:rPr>
        <w:t xml:space="preserve">  </w:t>
      </w:r>
      <w:r w:rsidR="0030538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категорію «Інші </w:t>
      </w:r>
      <w:proofErr w:type="spellStart"/>
      <w:r w:rsidR="0030538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проєкти</w:t>
      </w:r>
      <w:proofErr w:type="spellEnd"/>
      <w:r w:rsidR="0030538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виділено 3 млн. грн., які передбачають реалізацію </w:t>
      </w:r>
      <w:proofErr w:type="spellStart"/>
      <w:r w:rsidR="0030538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проєктів</w:t>
      </w:r>
      <w:proofErr w:type="spellEnd"/>
      <w:r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підкатегорії</w:t>
      </w:r>
      <w:proofErr w:type="spellEnd"/>
      <w:r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«Інші» не більше</w:t>
      </w:r>
      <w:r w:rsidR="0030538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1,5 млн грн, та  реалізацію </w:t>
      </w:r>
      <w:proofErr w:type="spellStart"/>
      <w:r w:rsidR="0030538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проєктів</w:t>
      </w:r>
      <w:proofErr w:type="spellEnd"/>
      <w:r w:rsidR="0030538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</w:t>
      </w:r>
      <w:r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більше ніж</w:t>
      </w:r>
      <w:r w:rsidR="0030538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1,5 млн грн з </w:t>
      </w:r>
      <w:proofErr w:type="spellStart"/>
      <w:r w:rsidR="0030538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підкатегорії</w:t>
      </w:r>
      <w:proofErr w:type="spellEnd"/>
      <w:r w:rsidR="0030538A" w:rsidRPr="00A0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“Доступність”.</w:t>
      </w:r>
    </w:p>
    <w:p w:rsidR="002C0F17" w:rsidRDefault="00900719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6.7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Автором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може бути фізична особа, яка є громадянином України, громадянином іншої держави, особою без громадянства та на дату подання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досягла 18-ти років.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поданні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автор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повинен підтвердити дотримання цієї вимоги шляхом: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пред’явлення оригіналу одного з документів, до яких вносяться відомості про вік: паспорт громадянина України, тимчасове посвідчення громадянина України, посвідка на постійне проживання, посвідка на тимчасове проживання, - у разі подання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в паперовому вигляді шляхом особистого звернення до посадової особи Відповідального підрозділу;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подання копії одного з документів, до яких вносяться відомості про вік, передбаченого абзацом другим цього пункту, - у разі подання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в паперовому вигляді шляхом звернення поштовим зв’язком;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завантаження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сканкопії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або фотографії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одного з документів, до яких вносяться відомості про вік, передбаченого абзацом другим цього пункту, - у разі подання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в електронному вигляду.</w:t>
      </w:r>
    </w:p>
    <w:p w:rsidR="002C0F17" w:rsidRDefault="00900719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6.8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Впродовж одного циклу бюджету участі автор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може подати один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C0F17" w:rsidRDefault="00900719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6.9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разі подання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що передбачає реалізацію на території установи, організації, підприємства, їхній прилеглій території, на земельній ділянці, автор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зобов’язаний узгодити діяльність, описану в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проєктній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заявці,  із керівником / керівним органом установи, організації, підприємства, власником / користувачем земельної ділянки, про що робиться відмітка у додатку до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згідно з додатком 1 до Положення.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однією поштовою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може бути реалізований один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9007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.10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Автори можуть подавати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які не були профінансовані в попередніх циклах бюджету участі або в межах виконання інших програм /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що були реалізовані на території</w:t>
      </w:r>
      <w:r w:rsidR="000A44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Івано-Франківської територіальної громади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9007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.11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оформляється за формою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згідно з додатком 1 до Положення. До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автор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додає: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перелік осіб, які підтримують реалізацію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 їхніми підписами (паперовий вигляд або онлайн)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згоду на вільне використання Івано-Франківською міською радою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 тому числі поза межами реалізації бюджету участі;</w:t>
      </w:r>
    </w:p>
    <w:p w:rsidR="002C0F17" w:rsidRDefault="0030538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згоду на обробку персональних даних.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Згода на вільне використання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згода на обробку персональних даних, перелік осіб оформляються у відповідності до встановлених цим Положенням форм.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9007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.12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Кількість осіб, які підтримують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що подається автором, становить:</w:t>
      </w:r>
    </w:p>
    <w:p w:rsidR="002C0F17" w:rsidRDefault="00E571C6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освітніх, благоустрою та інших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не менше 25-ти осіб,</w:t>
      </w:r>
    </w:p>
    <w:p w:rsidR="00E571C6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всіх ремонту малих вулиць – не менше 50-ти осіб.</w:t>
      </w:r>
    </w:p>
    <w:p w:rsidR="00A024B8" w:rsidRDefault="00A024B8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Особи, які підтримують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повинні відповідати тим умовам, що і автор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9007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.13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повинні відповідати таким умовам: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належність до сфери власних повноважень органів місцевого самоврядування міської територіальної громади;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відповідність чинному законодавству;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відповідність містобудівній та іншій документації з просторового розвитку міської територіальної громади (генеральний план території, плани зонування, детальні плани територій та ін.);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узгодженість із завданнями, реалізація яких вже розпочалася або які органи місцевого самоврядування планують реалізувати в тому році, в якому проводиться бюджет участі;</w:t>
      </w:r>
    </w:p>
    <w:p w:rsidR="002C0F17" w:rsidRDefault="0030538A">
      <w:pPr>
        <w:spacing w:after="60" w:line="240" w:lineRule="auto"/>
        <w:ind w:right="4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реалізація і результати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 призводять до порушення прав інших осіб.</w:t>
      </w:r>
    </w:p>
    <w:p w:rsidR="002C0F17" w:rsidRDefault="00A024B8">
      <w:pPr>
        <w:spacing w:line="240" w:lineRule="auto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6</w:t>
      </w:r>
      <w:r w:rsidR="00900719">
        <w:rPr>
          <w:rFonts w:ascii="Times New Roman" w:hAnsi="Times New Roman" w:cs="Times New Roman"/>
          <w:sz w:val="28"/>
          <w:szCs w:val="28"/>
        </w:rPr>
        <w:t>.14</w:t>
      </w:r>
      <w:r w:rsidR="0030538A">
        <w:rPr>
          <w:rFonts w:ascii="Times New Roman" w:hAnsi="Times New Roman" w:cs="Times New Roman"/>
          <w:sz w:val="28"/>
          <w:szCs w:val="28"/>
        </w:rPr>
        <w:t xml:space="preserve">. Тематика </w:t>
      </w:r>
      <w:proofErr w:type="spellStart"/>
      <w:r w:rsidR="0030538A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30538A">
        <w:rPr>
          <w:rFonts w:ascii="Times New Roman" w:hAnsi="Times New Roman" w:cs="Times New Roman"/>
          <w:sz w:val="28"/>
          <w:szCs w:val="28"/>
        </w:rPr>
        <w:t xml:space="preserve"> бюджету участі, які подають автори, не обмежується. Автори </w:t>
      </w:r>
      <w:proofErr w:type="spellStart"/>
      <w:r w:rsidR="0030538A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30538A">
        <w:rPr>
          <w:rFonts w:ascii="Times New Roman" w:hAnsi="Times New Roman" w:cs="Times New Roman"/>
          <w:sz w:val="28"/>
          <w:szCs w:val="28"/>
        </w:rPr>
        <w:t xml:space="preserve"> можуть подавати </w:t>
      </w:r>
      <w:proofErr w:type="spellStart"/>
      <w:r w:rsidR="0030538A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="0030538A">
        <w:rPr>
          <w:rFonts w:ascii="Times New Roman" w:hAnsi="Times New Roman" w:cs="Times New Roman"/>
          <w:sz w:val="28"/>
          <w:szCs w:val="28"/>
        </w:rPr>
        <w:t xml:space="preserve"> будь-якої тематики на власний розсуд, крім:</w:t>
      </w:r>
    </w:p>
    <w:p w:rsidR="002C0F17" w:rsidRPr="00900719" w:rsidRDefault="0030538A" w:rsidP="001F198B">
      <w:pPr>
        <w:pStyle w:val="a7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00719">
        <w:rPr>
          <w:rFonts w:ascii="Times New Roman" w:hAnsi="Times New Roman" w:cs="Times New Roman"/>
          <w:sz w:val="28"/>
          <w:szCs w:val="28"/>
        </w:rPr>
        <w:t xml:space="preserve">реалізації індивідуальних ініціатив, що передбачають приватний інтерес автора </w:t>
      </w:r>
      <w:proofErr w:type="spellStart"/>
      <w:r w:rsidRPr="00900719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90071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C0F17" w:rsidRPr="00900719" w:rsidRDefault="0030538A" w:rsidP="001F198B">
      <w:pPr>
        <w:pStyle w:val="a7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00719">
        <w:rPr>
          <w:rFonts w:ascii="Times New Roman" w:hAnsi="Times New Roman" w:cs="Times New Roman"/>
          <w:sz w:val="28"/>
          <w:szCs w:val="28"/>
        </w:rPr>
        <w:t>будь-який майновий чи немайновий інтерес фізичної особи, який спрямований на задоволення особистих потреб та не передбачає вирішення локальних проблем мешканців.</w:t>
      </w:r>
    </w:p>
    <w:p w:rsidR="002C0F17" w:rsidRDefault="00A024B8">
      <w:pPr>
        <w:spacing w:line="240" w:lineRule="auto"/>
        <w:contextualSpacing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9007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.15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Автори подають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проєктні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в електронному або паперовому вигляді впродовж строку, що визначається розпорядженням Івано-Франківського міського голови.</w:t>
      </w:r>
    </w:p>
    <w:p w:rsidR="001F198B" w:rsidRDefault="00A024B8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9007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.16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Подання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в електронному вигляді автор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здійснює шляхом самостійного внесення даних до електронної системи </w:t>
      </w:r>
    </w:p>
    <w:p w:rsidR="001F198B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завантаження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сканкопій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документів, перед</w:t>
      </w:r>
      <w:r w:rsid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бачених абзацом п’ятим 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пункту 6</w:t>
      </w:r>
      <w:r w:rsidR="009007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.11.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Положення. Після внесення даних автор отримує в електронному вигляді підтвердження реєстрації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заявки.</w:t>
      </w:r>
    </w:p>
    <w:p w:rsidR="002C0F17" w:rsidRDefault="0030538A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Автор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може вносити зміни до своєї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чи видалити її впродовж строку, встановленого для подання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Після завершення цього строку внесення змін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заявки, зняття її з розгляду здійснюється у порядку передбаченому пунктом</w:t>
      </w:r>
      <w:r w:rsidRPr="009007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1C7596" w:rsidRPr="001C75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7.18</w:t>
      </w:r>
      <w:r w:rsidRPr="001C75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Положення.</w:t>
      </w:r>
    </w:p>
    <w:p w:rsidR="0059720F" w:rsidRDefault="00A024B8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9007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17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Подання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в паперовому вигляді автор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здійснює  шляхом особистого звернення до посадової особи </w:t>
      </w:r>
    </w:p>
    <w:p w:rsidR="0059720F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Відповідального підрозділу із врахування</w:t>
      </w:r>
      <w:r w:rsidR="009007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 вимог, передбачених </w:t>
      </w:r>
    </w:p>
    <w:p w:rsidR="002C0F17" w:rsidRDefault="00900719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пунктом 6.7.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Положення.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разі подання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шляхом особистого звернення автор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одночасно подає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заявку в електронному вигляді (за наявності).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9007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.18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Посадова особа Відповідального підрозділу відмовляє автору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прийнятті пакету документів у разі:</w:t>
      </w:r>
    </w:p>
    <w:p w:rsidR="002C0F17" w:rsidRDefault="0030538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відсутності документів та додатків до них, передбачених Положенням;</w:t>
      </w:r>
    </w:p>
    <w:p w:rsidR="002C0F17" w:rsidRDefault="0030538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невідповідності автора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умовам, передбаченим Положенням;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відсутності у формі з переліком осіб, які підтримують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інформації та / або кількості підписів, передбачених Положенням;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отримання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після завершення строку, встановленого для подання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C0F17" w:rsidRDefault="00A024B8">
      <w:pPr>
        <w:spacing w:before="48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48"/>
          <w:szCs w:val="48"/>
          <w:lang w:eastAsia="uk-U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>7</w:t>
      </w:r>
      <w:r w:rsidR="00900719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 xml:space="preserve">. </w:t>
      </w:r>
      <w:r w:rsidR="0030538A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>РОЗГЛЯД І ПЕРЕВІРКА ПРОЄКТІВ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7</w:t>
      </w:r>
      <w:r w:rsidR="009007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разі подання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шляхом особистого звернення автора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посадова особа Відповідального підрозділу перевіряє:</w:t>
      </w:r>
    </w:p>
    <w:p w:rsidR="002C0F17" w:rsidRDefault="0030538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наявність всіх документів та додатків до них, передбачених Положенням;</w:t>
      </w:r>
    </w:p>
    <w:p w:rsidR="002C0F17" w:rsidRDefault="0030538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відповідність автора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умовам, передбаченим Положенням;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наявність у формі з переліком осіб, які підтримують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інформації та / або кількості підписів, передбачених Положенням;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повноту заповнення всіх розділів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заявки, додатків до неї та наявність передбачених формою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реквізитів;</w:t>
      </w:r>
    </w:p>
    <w:p w:rsidR="002C0F17" w:rsidRDefault="0030538A">
      <w:pPr>
        <w:spacing w:after="6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відповідність заявленої вартості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максимально можливій вартості згідно з пунктом 32 Положення.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прийомі документів посадова особа Відповідального підрозділу може здійснювати перевірку правильності заповнення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заявки.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9007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результатами перевірки посадова особа Відповідального підрозділу: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приймає пакет документів та на усну вимогу автора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видає опис за формою згідно з додатком 2 з відміткою про прийняття;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відмовляє у прийнятті пакету документів та на усну вимогу автора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видає повідомлення про відмову у прийнятті документів за формою згідно з додатком 3.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9007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.3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Впродовж двох робочих днів після отримання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в паперовому вигляді посадова особа Відповідального підрозділу перевіряє правильність її заповнення. Перевірка правильності заповнення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передбачає з’ясування відповідності змісту тексту розділам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заявки, а також точності розрахунків у кошторисі витрат.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9007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.4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разі неправильного заповнення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заявки, неточних розрахунків у кошторисі витрат посадова особа Відповідального підрозділу впродовж двох робочих днів після перевірки інформує про це автора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телефоном або електронною поштою із вказанням виявлених недоліків.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9007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.5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разі подання / внесення змін до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в електронному вигляді посадова особа Відповідального підрозділу впродовж двох робочих днів від дати внесення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здійснює 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ревірку, передбачену пунктами 7.2-7</w:t>
      </w:r>
      <w:r w:rsidR="009007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.4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Положення, та за результатами перевірки робить відмітку про прийняття або повідомлення про відмову у прийнятті документів, про що автор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отримує сповіщення через свій кабінет в електронній системі та / або на електронну пошту.</w:t>
      </w:r>
    </w:p>
    <w:p w:rsidR="002C0F17" w:rsidRPr="00460A9F" w:rsidRDefault="00A024B8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7.6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Автор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має можливість виправити недоліки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та подати її повторно в межах строку, встановленого для подання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та у по</w:t>
      </w:r>
      <w:r w:rsidR="009007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рядку, пер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едбаченому пунктами 6</w:t>
      </w:r>
      <w:r w:rsidR="009007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.11.</w:t>
      </w:r>
      <w:r w:rsidR="00460A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9007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.13.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Положення.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7.7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відсутності умов для відмови у прийнятті поданих автором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документів, що визначені Положенням, посадова особа Відповідального підрозділу впродовж двох робочих днів після здійснення перевірки вносить до електронної системи інформацію, що міститься в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проєктній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заявці, та заповнює інформацію, що передбачена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проєктною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заявкою згідно з додатком 1 до Положення. До публічного оприлюднення всіх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цієї інформації, крім персональних даних, мають доступ в режимі перегляду всі учасники Робочої групи.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460A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.8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Всі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які внесені до електронної системи, підлягають розгляду на засіданні Робочої групи у порядку, визначеному Регламентом діяльності Робочої групи.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460A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.9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Останнє засідання Робочої групи, на якому розглядаються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проводиться не пізніше трьох робочих днів після завершення терміну, встановленого для подання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460A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.10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 допускаються до голосування та відхиляються, у разі:</w:t>
      </w:r>
    </w:p>
    <w:p w:rsidR="002C0F17" w:rsidRDefault="0030538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виявлення в документах, поданих автором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недостовірних відомостей;</w:t>
      </w:r>
    </w:p>
    <w:p w:rsidR="002C0F17" w:rsidRDefault="0030538A">
      <w:pPr>
        <w:spacing w:after="60" w:line="240" w:lineRule="auto"/>
        <w:ind w:right="4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недотримання вимог, передбачених Положенням;</w:t>
      </w:r>
    </w:p>
    <w:p w:rsidR="002C0F17" w:rsidRDefault="0030538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неподання виправленої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впродовж строку, передбаченого Положенням;</w:t>
      </w:r>
    </w:p>
    <w:p w:rsidR="002C0F17" w:rsidRDefault="0030538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якщо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став переможцем в одному з попередніх циклів бюджету участі і був профінансований з міського бюджету або був профінансований в межах виконання програм/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на реалізацію яких виділяються кошти міського бюджету;</w:t>
      </w:r>
    </w:p>
    <w:p w:rsidR="002C0F17" w:rsidRDefault="0030538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якщо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передбачає виключно розробку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документації або носить фрагментарний характер;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якщо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 гарантує безкоштовний доступ мешканців до результатів реалізації.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1905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.11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разі наявності умов, передбачених Положенням, за яких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 може бути виставлений на голосування та підлягає відхиленню, структурний підрозділ Івано-Франківської міської ради, до компетенції якого належить питання, готує обґрунтування із зазначенням причин відхилення та надає його до Відповідального підрозділу.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1905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.12.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підсумками засідання Робочої групи Відповідальний підрозділ впродовж трьох робочих днів після засідання оприлюднює на сайті бюджету участі:</w:t>
      </w:r>
    </w:p>
    <w:p w:rsidR="002C0F17" w:rsidRDefault="0030538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інформацію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допущені до голосування;</w:t>
      </w:r>
    </w:p>
    <w:p w:rsidR="002C0F17" w:rsidRDefault="0030538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інформацію про відхилені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2C0F17" w:rsidRDefault="0030538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протоколи засідань Робочої групи.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1905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.13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Автори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отримують сповіщення про результати розгляду своїх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через кабінет в електронній системі та / або електронною поштою.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1905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.14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Інформація про кожен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який оприлюднюється в електронній системі, містить: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дату реєстрації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2C0F17" w:rsidRDefault="0030538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назву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2C0F17" w:rsidRDefault="0030538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ім’я та прізвище автора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2C0F17" w:rsidRDefault="0030538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висновки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які відхилені.</w:t>
      </w:r>
    </w:p>
    <w:p w:rsidR="002C0F17" w:rsidRDefault="0030538A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Контактна інформація авторів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 підлягає публічному оприлюдненню. Будь-яка особа може надіслати до автора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звернення через його кабінет в електронній системі.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1905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.15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Будь-які втручання у зміст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та додатків до неї, що подані автором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забороняються. Без згоди автора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допускається виправлення граматичних та орфографічних помилок.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1905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.16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Зміна будь-якого розділу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можлива виключно за письмової згоди автора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наданої до дня останнього засідання Робочої групи у порядку, передбаченому пунктами 45-47 Положення, або за згоди автора, висловленої під час засіданні Робочої групи у порядку, передбаченому регламентом діяльності Робочої групи.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Зміни автор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оформляє відповідно до форми для внесення змін / уточнень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згідно з додатком 4.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1905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.17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разі наявності пропозицій структурного підрозділу, до компетенції якого відноситься реалізація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щодо кошторису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такі пропозиції розглядаються на засіданні Робочої групи за участі автора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порядку, передбаченому регламентом діяльності Робочої групи.</w:t>
      </w:r>
    </w:p>
    <w:p w:rsidR="002C0F17" w:rsidRDefault="00A024B8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1156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.18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Голосування за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 участі розпочинається через сім календарних днів після розміщення інформації про всі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сайті бюджету участі. Не пізніше, ніж за два дні до початку голосування автори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мають право:</w:t>
      </w:r>
    </w:p>
    <w:p w:rsidR="002C0F17" w:rsidRDefault="0030538A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зняти свій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розгляду, про що інформують Відповідальний підрозділ у письмовому вигляді шляхом подання заяви про зняття з розгляду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формою згідно з додатком 5 у по</w:t>
      </w:r>
      <w:r w:rsid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рядку, передбаченому пунктами 7.5-7</w:t>
      </w:r>
      <w:r w:rsidR="001905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1905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Положення;</w:t>
      </w:r>
    </w:p>
    <w:p w:rsidR="002C0F17" w:rsidRDefault="0030538A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взаємною згодою об’єднати свої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про що автор подає до Відповідального підрозділу нову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заявку у порядку, передбаченому пунктами </w:t>
      </w:r>
      <w:r w:rsidR="00A024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7.5-7</w:t>
      </w:r>
      <w:r w:rsidR="00FE6C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.7.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Положення, з одночасним зняттям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), який(і) об’єднаний(і).</w:t>
      </w:r>
    </w:p>
    <w:p w:rsidR="002C0F17" w:rsidRDefault="00CB1574">
      <w:pPr>
        <w:spacing w:before="48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48"/>
          <w:szCs w:val="48"/>
          <w:lang w:eastAsia="uk-U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>8</w:t>
      </w:r>
      <w:r w:rsidR="0037750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 xml:space="preserve">. </w:t>
      </w:r>
      <w:r w:rsidR="0030538A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>ГОЛОСУВАННЯ ЗА ПРОЄКТИ</w:t>
      </w:r>
    </w:p>
    <w:p w:rsidR="002C0F17" w:rsidRDefault="00CB1574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3775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Голосувати за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 участі може особа, яка є громадянином України, громадянином іншої держави, особою без громадянства та відповідає таким умовам: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дату голосування досягла 18-ти років;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має зареєстроване місце проживання або обліковується як внутрішньо переміщена особа на території Івано-Франківської міської ради.</w:t>
      </w:r>
    </w:p>
    <w:p w:rsidR="002C0F17" w:rsidRDefault="00CB1574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3775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Кожна особа, яка відповіда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 умовам, визначеним у пункті 8</w:t>
      </w:r>
      <w:r w:rsidR="003775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Положення, зможе проголосувати за один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кожній з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підкатегорій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C0F17" w:rsidRDefault="00CB1574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3775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.3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Голосування здійснюється: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сайті бюджету участі – через ідентифікацію за допомогою електронного цифрового підпису або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BankID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у місцях, визначених розпорядженням Івано-Франківського міського голови, шляхом внесення даних уповноваженою посадовою особою місцевого самоврядування до електронної системи.</w:t>
      </w:r>
    </w:p>
    <w:p w:rsidR="002C0F17" w:rsidRDefault="00CB1574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3775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.4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Перелік місць для голосування оприлюднюється на сайті бюджету участі не пізніше, як за 7 календарних днів до початку голосування.</w:t>
      </w:r>
    </w:p>
    <w:p w:rsidR="002C0F17" w:rsidRDefault="00CB1574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3775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.5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голосування у визначених місцях особа пред’являє оригінал одного з документів, до яких вносяться відомості про вік та місце проживання: паспорт громадянина України, тимчасове посвідчення громадянина України, посвідка на постійне проживання, посвідка на тимчасове проживання. Внутрішньо переміщені особи додатково пред’являють довідку про взяття на облік внутрішньо переміщеної особи.</w:t>
      </w:r>
    </w:p>
    <w:p w:rsidR="002C0F17" w:rsidRDefault="00CB1574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3775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.6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 допускається голосування за інших осіб.</w:t>
      </w:r>
    </w:p>
    <w:p w:rsidR="002C0F17" w:rsidRDefault="00CB1574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3775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.7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території місць для голосування забороняється здійснювати агітацію за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 участі, які виставлені на голосування.</w:t>
      </w:r>
    </w:p>
    <w:p w:rsidR="002C0F17" w:rsidRDefault="00CB1574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3775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.8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Результати голосування відображаються на сайті бюджету участі у режимі реального часу.</w:t>
      </w:r>
    </w:p>
    <w:p w:rsidR="002C0F17" w:rsidRDefault="002C0F17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0F17" w:rsidRDefault="00CB1574">
      <w:pPr>
        <w:spacing w:before="48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48"/>
          <w:szCs w:val="48"/>
          <w:lang w:eastAsia="uk-U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>9</w:t>
      </w:r>
      <w:r w:rsidR="005934BA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 xml:space="preserve">. </w:t>
      </w:r>
      <w:r w:rsidR="0030538A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>ВИЗНАЧЕННЯ ПРОЄКТІВ ДЛЯ РЕАЛІЗАЦІЇ</w:t>
      </w:r>
    </w:p>
    <w:p w:rsidR="002C0F17" w:rsidRDefault="00CB1574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="005934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Результати голосування (кількість голосів) підраховуються в електронній системі автоматично по кожному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C0F17" w:rsidRDefault="00CB1574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="009671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Реалізації підлягають ті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які набрали найбільшу кількість голосів з урахуван</w:t>
      </w:r>
      <w:r w:rsidR="00D61F3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ням умов, визначених пунктами 6.3-6.6</w:t>
      </w:r>
      <w:r w:rsidR="003E3A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Положення, до повного вичерпання коштів, що передбачені для фінансування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 участі на відповідний бюджетний рік.</w:t>
      </w:r>
    </w:p>
    <w:p w:rsidR="002C0F17" w:rsidRDefault="00CB1574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9</w:t>
      </w:r>
      <w:r w:rsidR="009671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.3</w:t>
      </w:r>
      <w:r w:rsidR="003053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Якщо на реалізацію чергового </w:t>
      </w:r>
      <w:proofErr w:type="spellStart"/>
      <w:r w:rsidR="003053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не вистачає коштів у межах загального розміру бюджету участі та відповідної категорії, у яку такий проект був поданий, фінансуванню підлягає(</w:t>
      </w:r>
      <w:proofErr w:type="spellStart"/>
      <w:r w:rsidR="003053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ють</w:t>
      </w:r>
      <w:proofErr w:type="spellEnd"/>
      <w:r w:rsidR="003053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) наступний(і) у рейтингу </w:t>
      </w:r>
      <w:proofErr w:type="spellStart"/>
      <w:r w:rsidR="003053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проєкт</w:t>
      </w:r>
      <w:proofErr w:type="spellEnd"/>
      <w:r w:rsidR="003053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(и), вартість якого(и) не призведе до перевищення загального розміру бюджету участі.</w:t>
      </w:r>
    </w:p>
    <w:p w:rsidR="002C0F17" w:rsidRDefault="00CB1574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="009671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.4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разі набрання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проєктом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однакової кількості голосів та вичерпання коштів, виділених в рамках одного циклу бюджету участі, фінансуванню підлягає той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вартість якого є меншою.</w:t>
      </w:r>
    </w:p>
    <w:p w:rsidR="002C0F17" w:rsidRDefault="00CB1574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="009671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.5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наявності більше одного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-переможця за однією поштовою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адресою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фінансуванню підлягає той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який набрав більшу кількість голосів, а за однакової кількості голосів - той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вартість якого є меншою.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Інші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-переможці за однією поштовою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 підлягають фінансуванню. Фінансуванню підлягає наступний(і) у рейтингу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(и), вартість якого(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є нижчою.</w:t>
      </w:r>
    </w:p>
    <w:p w:rsidR="002C0F17" w:rsidRDefault="00CB1574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="009671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.6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Після завершення голосування відповідальний підрозділ впродовж трьох робочих днів готує перелік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відповідно до їхнього рейтингу в залежності від кількості набраних голосів та перелік розпорядників бюджетних коштів, відповідальних за реалізацію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C0F17" w:rsidRDefault="00CB1574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9</w:t>
      </w:r>
      <w:r w:rsidR="009671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.7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 пізніше</w:t>
      </w:r>
      <w:r w:rsidR="0030538A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="0030538A">
        <w:rPr>
          <w:rFonts w:ascii="Times New Roman" w:eastAsia="Times New Roman" w:hAnsi="Times New Roman" w:cs="Times New Roman"/>
          <w:sz w:val="28"/>
          <w:szCs w:val="28"/>
          <w:lang w:eastAsia="uk-UA"/>
        </w:rPr>
        <w:t>семи</w:t>
      </w:r>
      <w:r w:rsidR="0030538A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робочих днів після завершення голосування відбувається засідання Робочої групи, на якому розглядається рейтинг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перелік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-переможців, реалізація яких має бути профінансована за рахунок коштів бюджету участі, а також перелік розпорядників бюджетних коштів, на яких покладається реалізація цих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Робоча група може звертатися до міського голови для можливого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дофінансуваня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C0F17" w:rsidRDefault="00CB1574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="009671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.8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Відповідальний підрозділ оприлюднює на сайті бюджету участі перелік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-переможців та протокол засідання Робочої групи – впродовж </w:t>
      </w:r>
      <w:r w:rsidR="003053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трьох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робочих днів після засідання Робочої групи.</w:t>
      </w:r>
    </w:p>
    <w:p w:rsidR="002C0F17" w:rsidRDefault="00CB1574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="009671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.9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Автори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отримують сповіщення про результати голосування через свій кабінет в електронній системі та / або електронною поштою, вказаною у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проєктній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заявці. У разі відсутності електронної пошти Відповідальний підрозділ інформує автора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телефоном впродовж двох робочих днів після оприлюднення переліку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-переможців на сайті бюджету участі.</w:t>
      </w:r>
    </w:p>
    <w:p w:rsidR="002C0F17" w:rsidRDefault="00CB1574">
      <w:pPr>
        <w:spacing w:before="48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48"/>
          <w:szCs w:val="48"/>
          <w:lang w:eastAsia="uk-U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>10</w:t>
      </w:r>
      <w:r w:rsidR="0096716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 xml:space="preserve">. </w:t>
      </w:r>
      <w:r w:rsidR="0030538A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>РЕАЛІЗАЦІЯ ПРОЄКТІВ І МОНІТОРИНГ</w:t>
      </w:r>
    </w:p>
    <w:p w:rsidR="002C0F17" w:rsidRDefault="00CB1574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</w:t>
      </w:r>
      <w:r w:rsidR="00A20A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Фінансуванню за рахунок коштів бюджету участі підлягають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проєкти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які можуть бути реалізовані впродовж одного бюджетного року.</w:t>
      </w:r>
    </w:p>
    <w:p w:rsidR="002C0F17" w:rsidRDefault="00CB1574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</w:t>
      </w:r>
      <w:r w:rsidR="00A20A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Реалізацію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забезпечують розпорядники бюджетних коштів, до повноважень яких відноситься тематика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які узгоджені на засіданні Робочої групи.</w:t>
      </w:r>
    </w:p>
    <w:p w:rsidR="002C0F17" w:rsidRDefault="00CB1574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</w:t>
      </w:r>
      <w:r w:rsidR="00A20A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.3.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Відмова автора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його реалізації не є підставою для його невиконання відповідним розпорядником бюджетних коштів.</w:t>
      </w:r>
    </w:p>
    <w:p w:rsidR="002C0F17" w:rsidRDefault="00A20A33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CB15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.4.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разі створення, придбання за результатами реалізації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матеріальних або нематеріальних цінностей, їхнє документальне оформлення здійснюється у визначеному законодавством порядку та безоплатно передаються балансоутримувачу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-переможців. Прийняті у встановленому порядку виконані роботи безоплатно передаються на баланс суб’єктів, у віданні (управлінні) яких перебуває об’єкт-переможець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</w:p>
    <w:p w:rsidR="002C0F17" w:rsidRDefault="00A20A33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CB15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Розпорядник бюджетних коштів, відповідальний за реалізацію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визначає відповідальну посадову особу, яка координує всю діяльність, пов’язану з реалізацією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C0F17" w:rsidRDefault="0059720F">
      <w:pPr>
        <w:spacing w:after="60" w:line="240" w:lineRule="auto"/>
        <w:ind w:right="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</w:t>
      </w:r>
      <w:r w:rsidR="00A20A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.6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Розпорядники, відповідальні за реалізацію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щомісяця до 01 числа місяця, наступного за звітним, інформують Відповідальний підрозділ про хід реалізації кожного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 участі до повної реалізації.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Відповідальний підрозділ публікує на сайті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та офіційній сторінці 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Фейсбук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бюджету участі інформацію про хід реалізації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 участі, в тому числі у форматі відкритих даних.</w:t>
      </w:r>
    </w:p>
    <w:p w:rsidR="002C0F17" w:rsidRDefault="00A20A33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CB15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.7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053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Автори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мають право знайомитися з ходом реалізації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будь-якому етапі, мати доступ до укладених договорів із підрядниками, актів виконаних робіт (наданих послуг) та будь-якої іншої документації, </w:t>
      </w:r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пов’язаної з реалізацією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Для ознайомлення автор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звертається (по телефону, електронною поштою, у письмовому вигляді) до відповідальної посадової особи розпорядника бюджетних коштів, відповідального за реалізацію </w:t>
      </w:r>
      <w:proofErr w:type="spellStart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305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яка впродовж трьох робочих днів зобов’язана надати інформацію або надати доступ до запитуваних матеріалів за їхньої наявності.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разі відмови у наданні інформації або доступу до запитуваних матеріалів автор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звертається до Відповідального підрозділу для винесення питання на розгляд Робочої групи, у порядку передбаченому регламентом діяльності Робочої групи.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2C0F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Секретар міської ради                                                   Віктор СИНИШИН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> </w:t>
      </w:r>
    </w:p>
    <w:p w:rsidR="002C0F17" w:rsidRDefault="002C0F17">
      <w:pPr>
        <w:spacing w:before="480" w:after="12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2C0F17" w:rsidRDefault="002C0F17">
      <w:pPr>
        <w:spacing w:before="480" w:after="12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2C0F17" w:rsidRDefault="002C0F17">
      <w:pPr>
        <w:spacing w:before="480" w:after="12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2C0F17" w:rsidRDefault="002C0F17">
      <w:pPr>
        <w:spacing w:before="480" w:after="12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2C0F17" w:rsidRDefault="002C0F17">
      <w:pPr>
        <w:spacing w:before="480" w:after="120" w:line="240" w:lineRule="auto"/>
        <w:ind w:right="20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2C0F17" w:rsidRDefault="002C0F17">
      <w:pPr>
        <w:spacing w:before="480" w:after="12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A138C3" w:rsidRDefault="00A138C3">
      <w:pPr>
        <w:spacing w:before="480" w:after="12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A138C3" w:rsidRDefault="00A138C3">
      <w:pPr>
        <w:spacing w:before="480" w:after="12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A138C3" w:rsidRDefault="00A138C3">
      <w:pPr>
        <w:spacing w:before="480" w:after="12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A138C3" w:rsidRDefault="00A138C3">
      <w:pPr>
        <w:spacing w:before="480" w:after="12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A138C3" w:rsidRDefault="00A138C3">
      <w:pPr>
        <w:spacing w:before="480" w:after="12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A138C3" w:rsidRDefault="00A138C3">
      <w:pPr>
        <w:spacing w:before="480" w:after="12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2C0F17" w:rsidRDefault="0030538A">
      <w:pPr>
        <w:spacing w:before="480" w:after="12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b/>
          <w:bCs/>
          <w:kern w:val="2"/>
          <w:sz w:val="48"/>
          <w:szCs w:val="48"/>
          <w:lang w:eastAsia="uk-U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lastRenderedPageBreak/>
        <w:t>Додаток 1</w:t>
      </w:r>
    </w:p>
    <w:p w:rsidR="002C0F17" w:rsidRDefault="0030538A">
      <w:pPr>
        <w:spacing w:after="60" w:line="240" w:lineRule="auto"/>
        <w:ind w:right="2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Положення про бюджет участі</w:t>
      </w:r>
    </w:p>
    <w:p w:rsidR="002C0F17" w:rsidRDefault="0030538A">
      <w:pPr>
        <w:spacing w:after="60" w:line="240" w:lineRule="auto"/>
        <w:ind w:right="2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Івано-Франківській міській </w:t>
      </w:r>
    </w:p>
    <w:p w:rsidR="002C0F17" w:rsidRDefault="0030538A">
      <w:pPr>
        <w:spacing w:after="60" w:line="240" w:lineRule="auto"/>
        <w:ind w:right="2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територіальній громаді</w:t>
      </w:r>
    </w:p>
    <w:p w:rsidR="002C0F17" w:rsidRDefault="002C0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0F17" w:rsidRDefault="0030538A">
      <w:pPr>
        <w:spacing w:after="60" w:line="240" w:lineRule="auto"/>
        <w:ind w:right="2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2C0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0F17" w:rsidRDefault="0030538A">
      <w:pPr>
        <w:spacing w:after="60" w:line="240" w:lineRule="auto"/>
        <w:ind w:right="2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ПРОЄКТНА ЗАЯВКА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НАЗВА ПРОЄКТУ (коротке речення до 5-ти слів, що відображає суть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КОРОТКИЙ ОПИС ПРОЄКТУ (до 5-7 коротких речень про проблему на вирішення якої спрямований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результат реалізації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ПОТЕНЦІЙНІ КОРИСТУВАЧІ ПРОЄКТУ (максимум 3 позиції):</w:t>
      </w:r>
    </w:p>
    <w:p w:rsidR="002C0F17" w:rsidRDefault="002C0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2C0F17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МІСЦЕ РЕАЛІЗАЦІЇ ПРОЄКТУ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(точна адреса і назва об’єкта)</w:t>
      </w:r>
    </w:p>
    <w:p w:rsidR="002C0F17" w:rsidRDefault="002C0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КОШТОРИС ПРОЄКТУ (можна додавати комерційні пропозиції, але при наявності детального кошторису - виписати основні роботи у таблицю)</w:t>
      </w:r>
    </w:p>
    <w:p w:rsidR="002C0F17" w:rsidRDefault="002C0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9051" w:type="dxa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643"/>
        <w:gridCol w:w="1525"/>
        <w:gridCol w:w="1983"/>
        <w:gridCol w:w="1504"/>
        <w:gridCol w:w="1622"/>
        <w:gridCol w:w="1774"/>
      </w:tblGrid>
      <w:tr w:rsidR="002C0F17">
        <w:trPr>
          <w:trHeight w:val="795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 статті витрат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Вартість за одиницю, грн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одиниць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Загальна вартість, грн</w:t>
            </w:r>
          </w:p>
        </w:tc>
      </w:tr>
      <w:tr w:rsidR="002C0F17">
        <w:trPr>
          <w:trHeight w:val="495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C0F17">
        <w:trPr>
          <w:trHeight w:val="495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C0F17">
        <w:trPr>
          <w:trHeight w:val="495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C0F17">
        <w:trPr>
          <w:trHeight w:val="495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…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C0F17">
        <w:trPr>
          <w:trHeight w:val="495"/>
        </w:trPr>
        <w:tc>
          <w:tcPr>
            <w:tcW w:w="21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ВСЬОГО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1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</w:tbl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 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 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ДАНІ АВТОРА ПРОЄКТУ</w:t>
      </w:r>
    </w:p>
    <w:p w:rsidR="002C0F17" w:rsidRDefault="002C0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9051" w:type="dxa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4514"/>
      </w:tblGrid>
      <w:tr w:rsidR="002C0F17">
        <w:trPr>
          <w:trHeight w:val="495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Прізвище, ім’я, по батькові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C0F17">
        <w:trPr>
          <w:trHeight w:val="495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Місце проживання*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C0F17">
        <w:trPr>
          <w:trHeight w:val="495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Номер телефону*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C0F17">
        <w:trPr>
          <w:trHeight w:val="630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Електронна адреса (за наявності)*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C0F17">
        <w:trPr>
          <w:trHeight w:val="615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Серія і номер паспорта, ким виданий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C0F17">
        <w:trPr>
          <w:trHeight w:val="870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Дата народження (день, місяць та рік народження)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C0F17">
        <w:trPr>
          <w:trHeight w:val="1830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Стать**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C0F17" w:rsidRDefault="0030538A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Segoe UI Symbol" w:eastAsia="Times New Roman" w:hAnsi="Segoe UI Symbol" w:cs="Segoe UI Symbol"/>
                <w:color w:val="000000"/>
                <w:lang w:eastAsia="uk-UA"/>
              </w:rPr>
              <w:t>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 xml:space="preserve">       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  <w:p w:rsidR="002C0F17" w:rsidRDefault="0030538A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Segoe UI Symbol" w:eastAsia="Times New Roman" w:hAnsi="Segoe UI Symbol" w:cs="Segoe UI Symbol"/>
                <w:color w:val="000000"/>
                <w:lang w:eastAsia="uk-UA"/>
              </w:rPr>
              <w:t>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 xml:space="preserve">       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</w:tr>
      <w:tr w:rsidR="002C0F17">
        <w:trPr>
          <w:trHeight w:val="2160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before="240" w:after="24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Вид занять**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Segoe UI Symbol" w:eastAsia="Times New Roman" w:hAnsi="Segoe UI Symbol" w:cs="Segoe UI Symbol"/>
                <w:color w:val="000000"/>
                <w:lang w:eastAsia="uk-UA"/>
              </w:rPr>
              <w:t>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 xml:space="preserve">      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студент</w:t>
            </w:r>
          </w:p>
          <w:p w:rsidR="002C0F17" w:rsidRDefault="0030538A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Segoe UI Symbol" w:eastAsia="Times New Roman" w:hAnsi="Segoe UI Symbol" w:cs="Segoe UI Symbol"/>
                <w:color w:val="000000"/>
                <w:lang w:eastAsia="uk-UA"/>
              </w:rPr>
              <w:t>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 xml:space="preserve">      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найманий працівник</w:t>
            </w:r>
          </w:p>
          <w:p w:rsidR="002C0F17" w:rsidRDefault="0030538A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Segoe UI Symbol" w:eastAsia="Times New Roman" w:hAnsi="Segoe UI Symbol" w:cs="Segoe UI Symbol"/>
                <w:color w:val="000000"/>
                <w:lang w:eastAsia="uk-UA"/>
              </w:rPr>
              <w:t>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підприємець / власник, керівник підприємства</w:t>
            </w:r>
          </w:p>
          <w:p w:rsidR="002C0F17" w:rsidRDefault="0030538A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Segoe UI Symbol" w:eastAsia="Times New Roman" w:hAnsi="Segoe UI Symbol" w:cs="Segoe UI Symbol"/>
                <w:color w:val="000000"/>
                <w:lang w:eastAsia="uk-UA"/>
              </w:rPr>
              <w:t>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 xml:space="preserve">      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безробітний/а, не працюю</w:t>
            </w:r>
          </w:p>
          <w:p w:rsidR="002C0F17" w:rsidRDefault="0030538A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Segoe UI Symbol" w:eastAsia="Times New Roman" w:hAnsi="Segoe UI Symbol" w:cs="Segoe UI Symbol"/>
                <w:color w:val="000000"/>
                <w:lang w:eastAsia="uk-UA"/>
              </w:rPr>
              <w:t>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 xml:space="preserve">      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 декретній відпустці</w:t>
            </w:r>
          </w:p>
          <w:p w:rsidR="002C0F17" w:rsidRDefault="0030538A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Segoe UI Symbol" w:eastAsia="Times New Roman" w:hAnsi="Segoe UI Symbol" w:cs="Segoe UI Symbol"/>
                <w:color w:val="000000"/>
                <w:lang w:eastAsia="uk-UA"/>
              </w:rPr>
              <w:t>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 xml:space="preserve">      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інше</w:t>
            </w:r>
          </w:p>
        </w:tc>
      </w:tr>
    </w:tbl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* до даних мають доступ виключно посадові особи Відповідального підрозділу, які уповноважені на організацію роботи щодо бюджету участі;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** дані використовуватимуться в агрегованому (зведеному) вигляді для аналізу показників бюджету участі.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додається (необхідне відзначити):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перелік осіб, які підтримують реалізацію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(додаток);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фотографії в електронному вигляді (необов’язково для подання);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мапа в електронному вигляді із зазначенням місця реалізації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(необов’язково для подання);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інші матеріали за бажанням автора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(необов’язково)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Підписуючи цю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заявку: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1)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декларую, що ознайомився/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лась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умовами проведення бюджету участі в місті Івано-Франківську;</w:t>
      </w:r>
    </w:p>
    <w:p w:rsidR="002C0F17" w:rsidRDefault="0030538A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підтверджую, що вся вказана 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заявці та додатку(а) до неї інформація є достовірною, та усвідомлюю, що мій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буде знятий з розгляду та не допущений до голосування у разі виявлення в поданій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заявці недостовірної інформації;</w:t>
      </w:r>
    </w:p>
    <w:p w:rsidR="002C0F17" w:rsidRDefault="0030538A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3)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надаю згоду на вільне використання Івано-Франківською міською радою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 тому числі поза межами реалізації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2C0F17" w:rsidRDefault="0030538A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4)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надаю згоду на публічне висвітлення інформації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що включає назву, категорію, опис та результати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а також ім’я й прізвище автора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2C0F17" w:rsidRDefault="0030538A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5)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надаю згоду на те, що мої персональні дані оброблятимуться виконавчим комітетом Івано-Франківської міської ради (ідентифікаційний код 4054346), з метою проведення бюджету участі в місті Івано-Франківську;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6)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підтверджую, що розумію добровільність надання своїх персональних даних та що повідомлений/а про свої права згідно із Законом України «Про захист персональних даних».</w:t>
      </w:r>
    </w:p>
    <w:p w:rsidR="002C0F17" w:rsidRDefault="003053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Дата _______________    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Підпис ________________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</w:p>
    <w:p w:rsidR="002C0F17" w:rsidRDefault="002C0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Інформація про бюджет участі в Івано-Франківській міській територіальній громаді  міститься на сайті if.pb.org.ua</w:t>
      </w:r>
    </w:p>
    <w:p w:rsidR="002C0F17" w:rsidRDefault="002C0F17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2C0F17" w:rsidRDefault="002C0F17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2C0F17" w:rsidRDefault="002C0F17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2C0F17" w:rsidRDefault="002C0F17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2C0F17" w:rsidRDefault="002C0F17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2C0F17" w:rsidRDefault="002C0F17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2C0F17" w:rsidRDefault="0030538A">
      <w:pPr>
        <w:spacing w:before="240" w:after="0" w:line="240" w:lineRule="auto"/>
        <w:ind w:right="2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Додаток</w:t>
      </w:r>
    </w:p>
    <w:p w:rsidR="002C0F17" w:rsidRDefault="0030538A">
      <w:pPr>
        <w:spacing w:before="240" w:after="0" w:line="240" w:lineRule="auto"/>
        <w:ind w:right="2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after="60" w:line="240" w:lineRule="auto"/>
        <w:ind w:right="2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Перелік осіб, які підтримують реалізацію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Назва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_________________________________________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Автор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(ПІБ) ____________________________________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tbl>
      <w:tblPr>
        <w:tblW w:w="9051" w:type="dxa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617"/>
        <w:gridCol w:w="1374"/>
        <w:gridCol w:w="4574"/>
        <w:gridCol w:w="1463"/>
        <w:gridCol w:w="1023"/>
      </w:tblGrid>
      <w:tr w:rsidR="002C0F17">
        <w:trPr>
          <w:trHeight w:val="111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Ім’я, прізвище</w:t>
            </w: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Адреса проживання (поштовий індекс, населений пункт ІФ МТГ, вул.___, буд.___,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.___)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Номер телефону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Підпис *</w:t>
            </w:r>
          </w:p>
        </w:tc>
      </w:tr>
      <w:tr w:rsidR="002C0F17">
        <w:trPr>
          <w:trHeight w:val="60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2C0F17">
        <w:trPr>
          <w:trHeight w:val="60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2C0F17">
        <w:trPr>
          <w:trHeight w:val="60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2C0F17">
        <w:trPr>
          <w:trHeight w:val="60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30538A">
            <w:pPr>
              <w:spacing w:after="6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2C0F17">
        <w:trPr>
          <w:trHeight w:hRule="exact" w:val="60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C0F17">
        <w:trPr>
          <w:trHeight w:hRule="exact" w:val="60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C0F17">
        <w:trPr>
          <w:trHeight w:hRule="exact" w:val="60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C0F17">
        <w:trPr>
          <w:trHeight w:hRule="exact" w:val="60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C0F17">
        <w:trPr>
          <w:trHeight w:hRule="exact" w:val="60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C0F17">
        <w:trPr>
          <w:trHeight w:hRule="exact" w:val="60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0F17" w:rsidRDefault="002C0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2C0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* ставлячи підпис, особа-суб’єкт персональних даних: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1) надає згоду на те, що її (його) персональні дані оброблятимуться виконавчим комітетом Івано-Франківської міської ради (ідентифікаційний код 4054346), з метою проведення бюджету участі в місті Івано-Франківську;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2) підтверджує, що розуміє добровільність надання своїх персональних даних та що повідомлений про її (його) права згідно із Законом України «Про захист персональних даних».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Segoe UI Symbol" w:eastAsia="Times New Roman" w:hAnsi="Segoe UI Symbol" w:cs="Segoe UI Symbol"/>
          <w:color w:val="000000"/>
          <w:sz w:val="28"/>
          <w:szCs w:val="28"/>
          <w:lang w:eastAsia="uk-UA"/>
        </w:rPr>
        <w:t>❏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  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Автор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підтверджує узгодження діяльності, описаної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заявці,  з керівником / керівним органом установи, організації, підприємства (для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які передбачають реалізацію на території установи, організації, підприємства, їхній прилеглій території) або власником / користувачем земельної ділянки.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Segoe UI Symbol" w:eastAsia="Times New Roman" w:hAnsi="Segoe UI Symbol" w:cs="Segoe UI Symbol"/>
          <w:color w:val="000000"/>
          <w:sz w:val="28"/>
          <w:szCs w:val="28"/>
          <w:lang w:eastAsia="uk-UA"/>
        </w:rPr>
        <w:t>❏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 xml:space="preserve">    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Автор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підтверджує, що  діяльність, описана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заявці  не передбачає реалізації на території установи, організації, підприємства, їхній прилеглій території або земельній ділянці.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Дата _______________                                          Підпис ________________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Інформація про бюджет участі в Івано-Франківській міській територіальній громаді міститься на сайті if.pb.org.ua</w:t>
      </w:r>
    </w:p>
    <w:p w:rsidR="002C0F17" w:rsidRDefault="002C0F17">
      <w:pPr>
        <w:spacing w:before="240" w:after="6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0F17" w:rsidRDefault="002C0F17">
      <w:pPr>
        <w:spacing w:before="240" w:after="6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0F17" w:rsidRDefault="002C0F17">
      <w:pPr>
        <w:spacing w:before="240" w:after="6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0F17" w:rsidRDefault="002C0F17">
      <w:pPr>
        <w:spacing w:before="240" w:after="6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0F17" w:rsidRDefault="002C0F17">
      <w:pPr>
        <w:spacing w:before="240" w:after="6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0F17" w:rsidRDefault="002C0F17">
      <w:pPr>
        <w:spacing w:before="240" w:after="6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0F17" w:rsidRDefault="002C0F17">
      <w:pPr>
        <w:spacing w:before="240" w:after="6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0F17" w:rsidRDefault="002C0F17">
      <w:pPr>
        <w:spacing w:before="240" w:after="6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0F17" w:rsidRDefault="002C0F17">
      <w:pPr>
        <w:spacing w:before="240" w:after="6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0F17" w:rsidRDefault="002C0F17">
      <w:pPr>
        <w:spacing w:before="240" w:after="6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0F17" w:rsidRDefault="002C0F17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0F17" w:rsidRDefault="002C0F17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0F17" w:rsidRDefault="002C0F17" w:rsidP="0016151E">
      <w:pPr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0F17" w:rsidRDefault="0030538A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Додаток 2</w:t>
      </w:r>
    </w:p>
    <w:p w:rsidR="002C0F17" w:rsidRDefault="0030538A">
      <w:pPr>
        <w:spacing w:before="240" w:after="0" w:line="240" w:lineRule="auto"/>
        <w:ind w:right="2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Положення про бюджет участі</w:t>
      </w:r>
    </w:p>
    <w:p w:rsidR="002C0F17" w:rsidRDefault="0030538A">
      <w:pPr>
        <w:spacing w:after="0" w:line="240" w:lineRule="auto"/>
        <w:ind w:right="2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Івано-Франківській міській </w:t>
      </w:r>
    </w:p>
    <w:p w:rsidR="002C0F17" w:rsidRDefault="0030538A">
      <w:pPr>
        <w:spacing w:after="0" w:line="240" w:lineRule="auto"/>
        <w:ind w:right="2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територіальній громаді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Опис пакету документів</w:t>
      </w:r>
    </w:p>
    <w:p w:rsidR="002C0F17" w:rsidRDefault="002C0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Автор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(ПІБ)  _________________________________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Назва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_______________________________________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Дата реєстрації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 __________________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Перелік отриманих документів: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заявка на ____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C0F17" w:rsidRDefault="0030538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Перелік осіб, які підтримують реалізацію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____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C0F17" w:rsidRDefault="0030538A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Інше (перелічити)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Отримав/ла    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________________________                 _________________________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   (назва посади)     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      (прізвище, ініціали, підпис)         </w:t>
      </w:r>
    </w:p>
    <w:p w:rsidR="002C0F17" w:rsidRDefault="002C0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Інформація про бюджет участі в Івано-Франківській міській територіальній громаді міститься на сайті if.pb.org.ua</w:t>
      </w:r>
    </w:p>
    <w:p w:rsidR="002C0F17" w:rsidRDefault="002C0F17" w:rsidP="0016151E">
      <w:pPr>
        <w:spacing w:before="480" w:after="0" w:line="240" w:lineRule="auto"/>
        <w:ind w:right="20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E15386" w:rsidRDefault="00E15386">
      <w:pPr>
        <w:spacing w:before="480" w:after="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E15386" w:rsidRDefault="00E15386">
      <w:pPr>
        <w:spacing w:before="480" w:after="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2C0F17" w:rsidRDefault="0030538A">
      <w:pPr>
        <w:spacing w:before="480" w:after="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b/>
          <w:bCs/>
          <w:kern w:val="2"/>
          <w:sz w:val="48"/>
          <w:szCs w:val="48"/>
          <w:lang w:eastAsia="uk-U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lastRenderedPageBreak/>
        <w:t>Додаток 3</w:t>
      </w:r>
    </w:p>
    <w:p w:rsidR="002C0F17" w:rsidRDefault="0030538A">
      <w:pPr>
        <w:spacing w:before="240" w:after="0" w:line="240" w:lineRule="auto"/>
        <w:ind w:right="2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Положення про бюджет участі</w:t>
      </w:r>
    </w:p>
    <w:p w:rsidR="002C0F17" w:rsidRDefault="0030538A">
      <w:pPr>
        <w:spacing w:after="0" w:line="240" w:lineRule="auto"/>
        <w:ind w:right="2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Івано-Франківській міській </w:t>
      </w:r>
    </w:p>
    <w:p w:rsidR="002C0F17" w:rsidRDefault="0030538A">
      <w:pPr>
        <w:spacing w:after="0" w:line="240" w:lineRule="auto"/>
        <w:ind w:right="2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територіальній громаді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Повідомлення про відмову у прийнятті пакету документів</w:t>
      </w:r>
    </w:p>
    <w:p w:rsidR="002C0F17" w:rsidRDefault="002C0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Автор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(ПІБ) _________________________________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Назва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______________________________________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Підстави для відмови у прийнятті пакету документів:</w:t>
      </w:r>
    </w:p>
    <w:p w:rsidR="002C0F17" w:rsidRDefault="0030538A">
      <w:pPr>
        <w:spacing w:before="24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невідповідність вимогам, визначеним Положенням про бюджет участі в місті Івано-Франківську (вказується підстава для відмови із зазначенням пункту Положення):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_______________________________________________________________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Пакет документів перевірив/ла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______________________________                 _________________________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  (назва посади)     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          (прізвище, ініціали, підпис)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Інформація про бюджет участі в Івано-Франківській міській територіальній громаді міститься на сайті if.pb.org.ua</w:t>
      </w:r>
    </w:p>
    <w:p w:rsidR="002C0F17" w:rsidRDefault="002C0F17">
      <w:pPr>
        <w:spacing w:before="480" w:after="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E15386" w:rsidRDefault="00E15386">
      <w:pPr>
        <w:spacing w:before="480" w:after="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E15386" w:rsidRDefault="00E15386">
      <w:pPr>
        <w:spacing w:before="480" w:after="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2C0F17" w:rsidRDefault="0030538A">
      <w:pPr>
        <w:spacing w:before="480" w:after="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b/>
          <w:bCs/>
          <w:kern w:val="2"/>
          <w:sz w:val="48"/>
          <w:szCs w:val="48"/>
          <w:lang w:eastAsia="uk-U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lastRenderedPageBreak/>
        <w:t>Додаток 4</w:t>
      </w:r>
    </w:p>
    <w:p w:rsidR="002C0F17" w:rsidRDefault="0030538A">
      <w:pPr>
        <w:spacing w:before="240" w:after="0" w:line="240" w:lineRule="auto"/>
        <w:ind w:right="2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Положення про бюджет участі</w:t>
      </w:r>
    </w:p>
    <w:p w:rsidR="002C0F17" w:rsidRDefault="0030538A">
      <w:pPr>
        <w:spacing w:after="0" w:line="240" w:lineRule="auto"/>
        <w:ind w:right="2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Івано-Франківській міській </w:t>
      </w:r>
    </w:p>
    <w:p w:rsidR="002C0F17" w:rsidRDefault="0030538A">
      <w:pPr>
        <w:spacing w:after="0" w:line="240" w:lineRule="auto"/>
        <w:ind w:right="2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територіальній громаді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</w:p>
    <w:p w:rsidR="002C0F17" w:rsidRDefault="0030538A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Форма для внесення змін / уточнень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заявки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2C0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Назва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______________________________________________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Автор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(ПІБ)  ________________________________________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2C0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Суть змін / уточнень: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________________________________________________________________ </w:t>
      </w:r>
    </w:p>
    <w:p w:rsidR="002C0F17" w:rsidRDefault="003053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Дата _______________    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Підпис ________________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2C0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Інформація про бюджет участі в Івано-Франківській міській територіальній громаді міститься на сайті if.pb.org.ua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before="480" w:after="0" w:line="240" w:lineRule="auto"/>
        <w:ind w:right="20"/>
        <w:outlineLvl w:val="0"/>
        <w:rPr>
          <w:rFonts w:ascii="Times New Roman" w:eastAsia="Times New Roman" w:hAnsi="Times New Roman" w:cs="Times New Roman"/>
          <w:b/>
          <w:bCs/>
          <w:kern w:val="2"/>
          <w:sz w:val="48"/>
          <w:szCs w:val="48"/>
          <w:lang w:eastAsia="uk-U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t> </w:t>
      </w:r>
    </w:p>
    <w:p w:rsidR="002C0F17" w:rsidRDefault="002C0F17">
      <w:pPr>
        <w:spacing w:before="480"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2C0F17" w:rsidRDefault="002C0F17">
      <w:pPr>
        <w:spacing w:before="480"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E15386" w:rsidRDefault="00E15386">
      <w:pPr>
        <w:spacing w:before="480"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E15386" w:rsidRDefault="00E15386">
      <w:pPr>
        <w:spacing w:before="480"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2C0F17" w:rsidRDefault="0030538A">
      <w:pPr>
        <w:spacing w:before="480" w:after="0" w:line="240" w:lineRule="auto"/>
        <w:jc w:val="right"/>
        <w:outlineLvl w:val="0"/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  <w:lastRenderedPageBreak/>
        <w:t>Додаток 5</w:t>
      </w:r>
    </w:p>
    <w:p w:rsidR="002C0F17" w:rsidRDefault="0030538A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Положення про бюджет участі</w:t>
      </w:r>
    </w:p>
    <w:p w:rsidR="002C0F17" w:rsidRDefault="0030538A">
      <w:pPr>
        <w:spacing w:after="0" w:line="240" w:lineRule="auto"/>
        <w:ind w:right="2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Івано-Франківській міській </w:t>
      </w:r>
    </w:p>
    <w:p w:rsidR="002C0F17" w:rsidRDefault="0030538A">
      <w:pPr>
        <w:spacing w:after="0" w:line="240" w:lineRule="auto"/>
        <w:ind w:right="2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територіальній громаді</w:t>
      </w:r>
    </w:p>
    <w:p w:rsidR="002C0F17" w:rsidRDefault="002C0F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0F17" w:rsidRDefault="0030538A">
      <w:pPr>
        <w:spacing w:before="240" w:after="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Заява про зняття з розгляду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Назва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_______________________________________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Автор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(ПІБ)  _________________________________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2C0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Прошу зняти з розгляду та не допускати до голосування мій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C0F17" w:rsidRDefault="002C0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Дата _______________                     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        Підпис ________________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2C0F17" w:rsidRDefault="0030538A">
      <w:pPr>
        <w:spacing w:before="24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Інформація про бюджет участі в Івано-Франківській міській територіальній громаді міститься на сайті if.pb.org.ua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2C0F17" w:rsidRDefault="0030538A">
      <w:pPr>
        <w:spacing w:after="6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2C0F17" w:rsidRDefault="002C0F17">
      <w:pPr>
        <w:spacing w:before="480" w:after="0" w:line="240" w:lineRule="auto"/>
        <w:ind w:left="142"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16151E" w:rsidRDefault="0016151E">
      <w:pPr>
        <w:spacing w:before="480" w:after="0" w:line="240" w:lineRule="auto"/>
        <w:ind w:left="142"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uk-UA"/>
        </w:rPr>
      </w:pPr>
    </w:p>
    <w:p w:rsidR="002C0F17" w:rsidRDefault="0030538A">
      <w:pPr>
        <w:shd w:val="clear" w:color="auto" w:fill="FFFFFF"/>
        <w:spacing w:before="240" w:after="0" w:line="240" w:lineRule="auto"/>
        <w:ind w:left="142"/>
        <w:jc w:val="both"/>
      </w:pPr>
      <w:r>
        <w:rPr>
          <w:rFonts w:ascii="Times New Roman" w:eastAsia="Times New Roman" w:hAnsi="Times New Roman" w:cs="Times New Roman"/>
          <w:color w:val="030303"/>
          <w:sz w:val="28"/>
          <w:szCs w:val="28"/>
          <w:lang w:eastAsia="uk-UA"/>
        </w:rPr>
        <w:t>     </w:t>
      </w:r>
    </w:p>
    <w:p w:rsidR="0016151E" w:rsidRDefault="0016151E">
      <w:pPr>
        <w:spacing w:before="480" w:after="12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highlight w:val="yellow"/>
          <w:lang w:eastAsia="uk-UA"/>
        </w:rPr>
      </w:pPr>
    </w:p>
    <w:p w:rsidR="0016151E" w:rsidRDefault="0016151E">
      <w:pPr>
        <w:spacing w:before="480" w:after="12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highlight w:val="yellow"/>
          <w:lang w:eastAsia="uk-UA"/>
        </w:rPr>
      </w:pPr>
    </w:p>
    <w:p w:rsidR="002C0F17" w:rsidRDefault="0030538A">
      <w:pPr>
        <w:spacing w:before="480" w:after="120" w:line="240" w:lineRule="auto"/>
        <w:ind w:right="20"/>
        <w:jc w:val="right"/>
        <w:outlineLvl w:val="0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highlight w:val="yellow"/>
          <w:lang w:eastAsia="uk-UA"/>
        </w:rPr>
        <w:lastRenderedPageBreak/>
        <w:t>Додаток 6</w:t>
      </w:r>
    </w:p>
    <w:p w:rsidR="002C0F17" w:rsidRDefault="0030538A">
      <w:pPr>
        <w:spacing w:after="60" w:line="240" w:lineRule="auto"/>
        <w:ind w:right="20"/>
        <w:jc w:val="right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  <w:t>до Положення про бюджет участі</w:t>
      </w:r>
    </w:p>
    <w:p w:rsidR="002C0F17" w:rsidRDefault="0030538A">
      <w:pPr>
        <w:spacing w:after="60" w:line="240" w:lineRule="auto"/>
        <w:ind w:right="20"/>
        <w:jc w:val="right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  <w:t>в Івано-Франківській міській </w:t>
      </w:r>
    </w:p>
    <w:p w:rsidR="002C0F17" w:rsidRDefault="0030538A">
      <w:pPr>
        <w:shd w:val="clear" w:color="auto" w:fill="FFFFFF"/>
        <w:spacing w:after="60" w:line="240" w:lineRule="auto"/>
        <w:ind w:right="20"/>
        <w:jc w:val="right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  <w:t>територіальній громаді</w:t>
      </w:r>
    </w:p>
    <w:p w:rsidR="00014F1C" w:rsidRPr="00014F1C" w:rsidRDefault="00014F1C" w:rsidP="00CE42A4">
      <w:pPr>
        <w:shd w:val="clear" w:color="auto" w:fill="FFFFFF"/>
        <w:spacing w:after="60" w:line="240" w:lineRule="auto"/>
        <w:ind w:right="20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2C0F17" w:rsidRDefault="002C0F17">
      <w:pPr>
        <w:shd w:val="clear" w:color="auto" w:fill="FFFFFF"/>
        <w:spacing w:after="60" w:line="24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0F17" w:rsidRDefault="002939AC">
      <w:pPr>
        <w:jc w:val="center"/>
      </w:pPr>
      <w:r>
        <w:rPr>
          <w:rStyle w:val="StrongEmphasis"/>
          <w:rFonts w:ascii="Times New Roman" w:hAnsi="Times New Roman"/>
          <w:b w:val="0"/>
          <w:bCs w:val="0"/>
          <w:sz w:val="28"/>
          <w:szCs w:val="28"/>
          <w:highlight w:val="yellow"/>
        </w:rPr>
        <w:t>Види</w:t>
      </w:r>
      <w:r w:rsidR="0030538A">
        <w:rPr>
          <w:rStyle w:val="StrongEmphasis"/>
          <w:rFonts w:ascii="Times New Roman" w:hAnsi="Times New Roman"/>
          <w:b w:val="0"/>
          <w:bCs w:val="0"/>
          <w:sz w:val="28"/>
          <w:szCs w:val="28"/>
          <w:highlight w:val="yellow"/>
        </w:rPr>
        <w:t xml:space="preserve"> </w:t>
      </w:r>
      <w:proofErr w:type="spellStart"/>
      <w:r w:rsidR="0030538A">
        <w:rPr>
          <w:rStyle w:val="StrongEmphasis"/>
          <w:rFonts w:ascii="Times New Roman" w:hAnsi="Times New Roman"/>
          <w:b w:val="0"/>
          <w:bCs w:val="0"/>
          <w:sz w:val="28"/>
          <w:szCs w:val="28"/>
          <w:highlight w:val="yellow"/>
        </w:rPr>
        <w:t>проєктів</w:t>
      </w:r>
      <w:proofErr w:type="spellEnd"/>
      <w:r w:rsidR="0030538A">
        <w:rPr>
          <w:rStyle w:val="StrongEmphasis"/>
          <w:rFonts w:ascii="Times New Roman" w:hAnsi="Times New Roman"/>
          <w:b w:val="0"/>
          <w:bCs w:val="0"/>
          <w:sz w:val="28"/>
          <w:szCs w:val="28"/>
          <w:highlight w:val="yellow"/>
        </w:rPr>
        <w:t>, які можуть бути подані у категорії "Допомога ЗСУ":</w:t>
      </w:r>
    </w:p>
    <w:p w:rsidR="002C0F17" w:rsidRDefault="0030538A">
      <w:r>
        <w:rPr>
          <w:rStyle w:val="StrongEmphasis"/>
          <w:rFonts w:ascii="Times New Roman" w:hAnsi="Times New Roman"/>
          <w:b w:val="0"/>
          <w:bCs w:val="0"/>
          <w:sz w:val="28"/>
          <w:szCs w:val="28"/>
          <w:highlight w:val="yellow"/>
        </w:rPr>
        <w:t>1️. Забезпечення технічними засобами</w:t>
      </w:r>
    </w:p>
    <w:p w:rsidR="002C0F17" w:rsidRDefault="00D66DC3">
      <w:pPr>
        <w:numPr>
          <w:ilvl w:val="0"/>
          <w:numId w:val="5"/>
        </w:numPr>
        <w:tabs>
          <w:tab w:val="clear" w:pos="707"/>
          <w:tab w:val="left" w:pos="0"/>
        </w:tabs>
      </w:pPr>
      <w:r>
        <w:rPr>
          <w:rFonts w:ascii="Times New Roman" w:hAnsi="Times New Roman"/>
          <w:sz w:val="28"/>
          <w:szCs w:val="28"/>
          <w:highlight w:val="yellow"/>
        </w:rPr>
        <w:t xml:space="preserve">Закупівля </w:t>
      </w:r>
      <w:r w:rsidR="0030538A">
        <w:rPr>
          <w:rStyle w:val="StrongEmphasis"/>
          <w:rFonts w:ascii="Times New Roman" w:hAnsi="Times New Roman"/>
          <w:b w:val="0"/>
          <w:bCs w:val="0"/>
          <w:sz w:val="28"/>
          <w:szCs w:val="28"/>
          <w:highlight w:val="yellow"/>
        </w:rPr>
        <w:t>безпілотних літальних апаратів</w:t>
      </w:r>
      <w:r w:rsidR="0030538A">
        <w:rPr>
          <w:rFonts w:ascii="Times New Roman" w:hAnsi="Times New Roman"/>
          <w:sz w:val="28"/>
          <w:szCs w:val="28"/>
          <w:highlight w:val="yellow"/>
        </w:rPr>
        <w:t xml:space="preserve"> для військових підрозділів.</w:t>
      </w:r>
    </w:p>
    <w:p w:rsidR="002C0F17" w:rsidRDefault="0030538A">
      <w:pPr>
        <w:numPr>
          <w:ilvl w:val="0"/>
          <w:numId w:val="5"/>
        </w:numPr>
        <w:tabs>
          <w:tab w:val="clear" w:pos="707"/>
          <w:tab w:val="left" w:pos="0"/>
        </w:tabs>
      </w:pPr>
      <w:r>
        <w:rPr>
          <w:rFonts w:ascii="Times New Roman" w:hAnsi="Times New Roman"/>
          <w:sz w:val="28"/>
          <w:szCs w:val="28"/>
          <w:highlight w:val="yellow"/>
        </w:rPr>
        <w:t xml:space="preserve">Закупівля </w:t>
      </w:r>
      <w:r>
        <w:rPr>
          <w:rStyle w:val="StrongEmphasis"/>
          <w:rFonts w:ascii="Times New Roman" w:hAnsi="Times New Roman"/>
          <w:b w:val="0"/>
          <w:bCs w:val="0"/>
          <w:sz w:val="28"/>
          <w:szCs w:val="28"/>
          <w:highlight w:val="yellow"/>
        </w:rPr>
        <w:t>РЕБ (засобів радіоелектронної боротьби)</w:t>
      </w:r>
      <w:r>
        <w:rPr>
          <w:rFonts w:ascii="Times New Roman" w:hAnsi="Times New Roman"/>
          <w:sz w:val="28"/>
          <w:szCs w:val="28"/>
          <w:highlight w:val="yellow"/>
        </w:rPr>
        <w:t xml:space="preserve"> для захисту від ворожих </w:t>
      </w:r>
      <w:proofErr w:type="spellStart"/>
      <w:r>
        <w:rPr>
          <w:rFonts w:ascii="Times New Roman" w:hAnsi="Times New Roman"/>
          <w:sz w:val="28"/>
          <w:szCs w:val="28"/>
          <w:highlight w:val="yellow"/>
        </w:rPr>
        <w:t>дронів</w:t>
      </w:r>
      <w:proofErr w:type="spellEnd"/>
      <w:r>
        <w:rPr>
          <w:rFonts w:ascii="Times New Roman" w:hAnsi="Times New Roman"/>
          <w:sz w:val="28"/>
          <w:szCs w:val="28"/>
          <w:highlight w:val="yellow"/>
        </w:rPr>
        <w:t>.</w:t>
      </w:r>
    </w:p>
    <w:p w:rsidR="002C0F17" w:rsidRDefault="0030538A">
      <w:pPr>
        <w:numPr>
          <w:ilvl w:val="0"/>
          <w:numId w:val="5"/>
        </w:numPr>
        <w:tabs>
          <w:tab w:val="clear" w:pos="707"/>
          <w:tab w:val="left" w:pos="0"/>
        </w:tabs>
      </w:pPr>
      <w:r>
        <w:rPr>
          <w:rFonts w:ascii="Times New Roman" w:hAnsi="Times New Roman"/>
          <w:sz w:val="28"/>
          <w:szCs w:val="28"/>
          <w:highlight w:val="yellow"/>
        </w:rPr>
        <w:t xml:space="preserve">Оснащення військових </w:t>
      </w:r>
      <w:r>
        <w:rPr>
          <w:rStyle w:val="StrongEmphasis"/>
          <w:rFonts w:ascii="Times New Roman" w:hAnsi="Times New Roman"/>
          <w:b w:val="0"/>
          <w:bCs w:val="0"/>
          <w:sz w:val="28"/>
          <w:szCs w:val="28"/>
          <w:highlight w:val="yellow"/>
        </w:rPr>
        <w:t xml:space="preserve">сучасними засобами зв’язку (рації, супутниковий зв’язок </w:t>
      </w:r>
      <w:proofErr w:type="spellStart"/>
      <w:r>
        <w:rPr>
          <w:rStyle w:val="StrongEmphasis"/>
          <w:rFonts w:ascii="Times New Roman" w:hAnsi="Times New Roman"/>
          <w:b w:val="0"/>
          <w:bCs w:val="0"/>
          <w:sz w:val="28"/>
          <w:szCs w:val="28"/>
          <w:highlight w:val="yellow"/>
        </w:rPr>
        <w:t>Старлінки</w:t>
      </w:r>
      <w:proofErr w:type="spellEnd"/>
      <w:r>
        <w:rPr>
          <w:rStyle w:val="StrongEmphasis"/>
          <w:rFonts w:ascii="Times New Roman" w:hAnsi="Times New Roman"/>
          <w:b w:val="0"/>
          <w:bCs w:val="0"/>
          <w:sz w:val="28"/>
          <w:szCs w:val="28"/>
          <w:highlight w:val="yellow"/>
        </w:rPr>
        <w:t>)</w:t>
      </w:r>
      <w:r>
        <w:rPr>
          <w:rFonts w:ascii="Times New Roman" w:hAnsi="Times New Roman"/>
          <w:sz w:val="28"/>
          <w:szCs w:val="28"/>
          <w:highlight w:val="yellow"/>
        </w:rPr>
        <w:t>.</w:t>
      </w:r>
    </w:p>
    <w:p w:rsidR="002C0F17" w:rsidRDefault="0030538A">
      <w:pPr>
        <w:numPr>
          <w:ilvl w:val="0"/>
          <w:numId w:val="5"/>
        </w:numPr>
        <w:tabs>
          <w:tab w:val="clear" w:pos="707"/>
          <w:tab w:val="left" w:pos="0"/>
        </w:tabs>
      </w:pPr>
      <w:r>
        <w:rPr>
          <w:rFonts w:ascii="Times New Roman" w:hAnsi="Times New Roman"/>
          <w:sz w:val="28"/>
          <w:szCs w:val="28"/>
          <w:highlight w:val="yellow"/>
        </w:rPr>
        <w:t xml:space="preserve">Придбання </w:t>
      </w:r>
      <w:r>
        <w:rPr>
          <w:rStyle w:val="StrongEmphasis"/>
          <w:rFonts w:ascii="Times New Roman" w:hAnsi="Times New Roman"/>
          <w:b w:val="0"/>
          <w:bCs w:val="0"/>
          <w:sz w:val="28"/>
          <w:szCs w:val="28"/>
          <w:highlight w:val="yellow"/>
        </w:rPr>
        <w:t>інверторів, генераторів та зарядних станцій</w:t>
      </w:r>
      <w:r>
        <w:rPr>
          <w:rFonts w:ascii="Times New Roman" w:hAnsi="Times New Roman"/>
          <w:sz w:val="28"/>
          <w:szCs w:val="28"/>
          <w:highlight w:val="yellow"/>
        </w:rPr>
        <w:t xml:space="preserve"> для польових умов.</w:t>
      </w:r>
    </w:p>
    <w:p w:rsidR="002C0F17" w:rsidRDefault="0030538A">
      <w:r>
        <w:rPr>
          <w:rStyle w:val="StrongEmphasis"/>
          <w:rFonts w:ascii="Times New Roman" w:hAnsi="Times New Roman"/>
          <w:b w:val="0"/>
          <w:bCs w:val="0"/>
          <w:sz w:val="28"/>
          <w:szCs w:val="28"/>
          <w:highlight w:val="yellow"/>
        </w:rPr>
        <w:t>4️. Транспорт та мобільність</w:t>
      </w:r>
    </w:p>
    <w:p w:rsidR="002C0F17" w:rsidRDefault="0030538A">
      <w:pPr>
        <w:numPr>
          <w:ilvl w:val="0"/>
          <w:numId w:val="8"/>
        </w:numPr>
        <w:tabs>
          <w:tab w:val="clear" w:pos="707"/>
          <w:tab w:val="left" w:pos="0"/>
        </w:tabs>
      </w:pPr>
      <w:r>
        <w:rPr>
          <w:rFonts w:ascii="Times New Roman" w:hAnsi="Times New Roman"/>
          <w:sz w:val="28"/>
          <w:szCs w:val="28"/>
          <w:highlight w:val="yellow"/>
        </w:rPr>
        <w:t xml:space="preserve">Закупівля та передача </w:t>
      </w:r>
      <w:proofErr w:type="spellStart"/>
      <w:r>
        <w:rPr>
          <w:rStyle w:val="StrongEmphasis"/>
          <w:rFonts w:ascii="Times New Roman" w:hAnsi="Times New Roman"/>
          <w:b w:val="0"/>
          <w:bCs w:val="0"/>
          <w:sz w:val="28"/>
          <w:szCs w:val="28"/>
          <w:highlight w:val="yellow"/>
        </w:rPr>
        <w:t>баггі</w:t>
      </w:r>
      <w:proofErr w:type="spellEnd"/>
      <w:r>
        <w:rPr>
          <w:rFonts w:ascii="Times New Roman" w:hAnsi="Times New Roman"/>
          <w:sz w:val="28"/>
          <w:szCs w:val="28"/>
          <w:highlight w:val="yellow"/>
        </w:rPr>
        <w:t xml:space="preserve"> для виконання бойових завдань.</w:t>
      </w:r>
    </w:p>
    <w:p w:rsidR="002C0F17" w:rsidRDefault="002C0F17">
      <w:pPr>
        <w:rPr>
          <w:rStyle w:val="StrongEmphasis"/>
          <w:rFonts w:ascii="Times New Roman" w:hAnsi="Times New Roman"/>
          <w:b w:val="0"/>
          <w:bCs w:val="0"/>
          <w:sz w:val="28"/>
          <w:szCs w:val="28"/>
          <w:highlight w:val="yellow"/>
        </w:rPr>
      </w:pPr>
    </w:p>
    <w:p w:rsidR="002C0F17" w:rsidRDefault="002C0F17">
      <w:pPr>
        <w:rPr>
          <w:rFonts w:ascii="Times New Roman" w:hAnsi="Times New Roman"/>
          <w:sz w:val="28"/>
          <w:szCs w:val="28"/>
          <w:lang w:eastAsia="uk-UA"/>
        </w:rPr>
      </w:pPr>
    </w:p>
    <w:p w:rsidR="002C0F17" w:rsidRDefault="002C0F17">
      <w:pPr>
        <w:rPr>
          <w:rFonts w:ascii="Times New Roman" w:hAnsi="Times New Roman"/>
          <w:sz w:val="28"/>
          <w:szCs w:val="28"/>
          <w:lang w:eastAsia="uk-UA"/>
        </w:rPr>
      </w:pPr>
    </w:p>
    <w:p w:rsidR="002C0F17" w:rsidRDefault="002C0F17">
      <w:pPr>
        <w:rPr>
          <w:rFonts w:ascii="Times New Roman" w:hAnsi="Times New Roman"/>
          <w:sz w:val="28"/>
          <w:szCs w:val="28"/>
          <w:lang w:eastAsia="uk-UA"/>
        </w:rPr>
      </w:pPr>
    </w:p>
    <w:p w:rsidR="002C0F17" w:rsidRDefault="002C0F17">
      <w:pPr>
        <w:rPr>
          <w:rFonts w:ascii="Times New Roman" w:hAnsi="Times New Roman"/>
          <w:sz w:val="28"/>
          <w:szCs w:val="28"/>
          <w:lang w:eastAsia="uk-UA"/>
        </w:rPr>
      </w:pPr>
    </w:p>
    <w:p w:rsidR="002C0F17" w:rsidRDefault="002C0F17">
      <w:pPr>
        <w:rPr>
          <w:rFonts w:ascii="Times New Roman" w:hAnsi="Times New Roman"/>
          <w:sz w:val="28"/>
          <w:szCs w:val="28"/>
          <w:lang w:eastAsia="uk-UA"/>
        </w:rPr>
      </w:pPr>
    </w:p>
    <w:p w:rsidR="002C0F17" w:rsidRDefault="002C0F17">
      <w:pPr>
        <w:rPr>
          <w:rFonts w:ascii="Times New Roman" w:hAnsi="Times New Roman"/>
          <w:sz w:val="28"/>
          <w:szCs w:val="28"/>
          <w:lang w:eastAsia="uk-UA"/>
        </w:rPr>
      </w:pPr>
    </w:p>
    <w:p w:rsidR="002C0F17" w:rsidRDefault="002C0F17">
      <w:pPr>
        <w:rPr>
          <w:rFonts w:ascii="Times New Roman" w:hAnsi="Times New Roman"/>
          <w:sz w:val="28"/>
          <w:szCs w:val="28"/>
          <w:lang w:eastAsia="uk-UA"/>
        </w:rPr>
      </w:pPr>
    </w:p>
    <w:p w:rsidR="002C0F17" w:rsidRDefault="002C0F17">
      <w:pPr>
        <w:rPr>
          <w:rFonts w:ascii="Times New Roman" w:hAnsi="Times New Roman"/>
          <w:sz w:val="28"/>
          <w:szCs w:val="28"/>
          <w:lang w:eastAsia="uk-UA"/>
        </w:rPr>
      </w:pPr>
    </w:p>
    <w:p w:rsidR="0016151E" w:rsidRDefault="0016151E" w:rsidP="0016151E">
      <w:pPr>
        <w:spacing w:before="480" w:after="120" w:line="240" w:lineRule="auto"/>
        <w:ind w:right="20"/>
        <w:jc w:val="center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highlight w:val="yellow"/>
          <w:lang w:eastAsia="uk-UA"/>
        </w:rPr>
      </w:pPr>
    </w:p>
    <w:p w:rsidR="0016151E" w:rsidRDefault="0016151E">
      <w:pPr>
        <w:spacing w:before="480" w:after="12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highlight w:val="yellow"/>
          <w:lang w:eastAsia="uk-UA"/>
        </w:rPr>
      </w:pPr>
    </w:p>
    <w:p w:rsidR="0016151E" w:rsidRDefault="0016151E">
      <w:pPr>
        <w:spacing w:before="480" w:after="12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highlight w:val="yellow"/>
          <w:lang w:eastAsia="uk-UA"/>
        </w:rPr>
      </w:pPr>
    </w:p>
    <w:p w:rsidR="0016151E" w:rsidRDefault="0016151E">
      <w:pPr>
        <w:spacing w:before="480" w:after="120" w:line="240" w:lineRule="auto"/>
        <w:ind w:right="20"/>
        <w:jc w:val="right"/>
        <w:outlineLvl w:val="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highlight w:val="yellow"/>
          <w:lang w:eastAsia="uk-UA"/>
        </w:rPr>
      </w:pPr>
    </w:p>
    <w:p w:rsidR="002C0F17" w:rsidRDefault="0030538A">
      <w:pPr>
        <w:spacing w:before="480" w:after="120" w:line="240" w:lineRule="auto"/>
        <w:ind w:right="20"/>
        <w:jc w:val="right"/>
        <w:outlineLvl w:val="0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highlight w:val="yellow"/>
          <w:lang w:eastAsia="uk-UA"/>
        </w:rPr>
        <w:lastRenderedPageBreak/>
        <w:t>Додаток 7</w:t>
      </w:r>
    </w:p>
    <w:p w:rsidR="002C0F17" w:rsidRDefault="0030538A">
      <w:pPr>
        <w:spacing w:after="60" w:line="240" w:lineRule="auto"/>
        <w:ind w:right="20"/>
        <w:jc w:val="right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  <w:t>до Положення про бюджет участі</w:t>
      </w:r>
    </w:p>
    <w:p w:rsidR="002C0F17" w:rsidRDefault="0030538A">
      <w:pPr>
        <w:spacing w:after="60" w:line="240" w:lineRule="auto"/>
        <w:ind w:right="20"/>
        <w:jc w:val="right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  <w:t>в Івано-Франківській міській </w:t>
      </w:r>
    </w:p>
    <w:p w:rsidR="002C0F17" w:rsidRDefault="0030538A">
      <w:pPr>
        <w:shd w:val="clear" w:color="auto" w:fill="FFFFFF"/>
        <w:spacing w:after="60" w:line="240" w:lineRule="auto"/>
        <w:ind w:right="20"/>
        <w:jc w:val="right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  <w:t>територіальній громаді</w:t>
      </w:r>
    </w:p>
    <w:p w:rsidR="002C0F17" w:rsidRDefault="002C0F17">
      <w:pPr>
        <w:shd w:val="clear" w:color="auto" w:fill="FFFFFF"/>
        <w:spacing w:after="60" w:line="24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0F17" w:rsidRDefault="002939AC">
      <w:pPr>
        <w:spacing w:beforeAutospacing="1" w:afterAutospacing="1" w:line="240" w:lineRule="auto"/>
        <w:jc w:val="center"/>
        <w:outlineLvl w:val="2"/>
      </w:pPr>
      <w:r>
        <w:rPr>
          <w:rStyle w:val="StrongEmphasis"/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highlight w:val="yellow"/>
          <w:lang w:eastAsia="uk-UA"/>
        </w:rPr>
        <w:t xml:space="preserve">Види </w:t>
      </w:r>
      <w:proofErr w:type="spellStart"/>
      <w:r w:rsidR="0030538A">
        <w:rPr>
          <w:rStyle w:val="StrongEmphasis"/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highlight w:val="yellow"/>
          <w:lang w:eastAsia="uk-UA"/>
        </w:rPr>
        <w:t>проєктів</w:t>
      </w:r>
      <w:proofErr w:type="spellEnd"/>
      <w:r w:rsidR="0030538A">
        <w:rPr>
          <w:rStyle w:val="StrongEmphasis"/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highlight w:val="yellow"/>
          <w:lang w:eastAsia="uk-UA"/>
        </w:rPr>
        <w:t>, які можуть бути подані у категорії "Доступність":</w:t>
      </w:r>
    </w:p>
    <w:p w:rsidR="002C0F17" w:rsidRDefault="0030538A">
      <w:p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>1. Доступність громадських просторів та будинків</w:t>
      </w:r>
    </w:p>
    <w:p w:rsidR="002C0F17" w:rsidRPr="007A04F7" w:rsidRDefault="0030538A">
      <w:pPr>
        <w:numPr>
          <w:ilvl w:val="0"/>
          <w:numId w:val="10"/>
        </w:numPr>
        <w:rPr>
          <w:rFonts w:ascii="Times New Roman" w:hAnsi="Times New Roman"/>
          <w:sz w:val="28"/>
          <w:szCs w:val="28"/>
          <w:highlight w:val="yellow"/>
        </w:rPr>
      </w:pPr>
      <w:r w:rsidRPr="007A04F7">
        <w:rPr>
          <w:rFonts w:ascii="Times New Roman" w:hAnsi="Times New Roman"/>
          <w:sz w:val="28"/>
          <w:szCs w:val="28"/>
          <w:highlight w:val="yellow"/>
        </w:rPr>
        <w:t>Встановлення пандусів і поручнів у громадських будівлях, парках, дитячих садках, бібліотеках і школах.</w:t>
      </w:r>
    </w:p>
    <w:p w:rsidR="002C0F17" w:rsidRDefault="0030538A">
      <w:pPr>
        <w:numPr>
          <w:ilvl w:val="0"/>
          <w:numId w:val="10"/>
        </w:num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>Встановлення  підйомників.</w:t>
      </w:r>
    </w:p>
    <w:p w:rsidR="0030538A" w:rsidRPr="001763AC" w:rsidRDefault="0030538A">
      <w:pPr>
        <w:numPr>
          <w:ilvl w:val="0"/>
          <w:numId w:val="10"/>
        </w:numPr>
        <w:rPr>
          <w:rFonts w:ascii="Times New Roman" w:hAnsi="Times New Roman"/>
          <w:sz w:val="28"/>
          <w:szCs w:val="28"/>
          <w:highlight w:val="yellow"/>
        </w:rPr>
      </w:pPr>
      <w:r w:rsidRPr="001763AC">
        <w:rPr>
          <w:rFonts w:ascii="Times New Roman" w:hAnsi="Times New Roman"/>
          <w:sz w:val="28"/>
          <w:szCs w:val="28"/>
          <w:highlight w:val="yellow"/>
        </w:rPr>
        <w:t>Встановлення пандусів у житлових будинках</w:t>
      </w:r>
    </w:p>
    <w:p w:rsidR="002C0F17" w:rsidRDefault="0030538A">
      <w:p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>2. Громадський транспорт:</w:t>
      </w:r>
    </w:p>
    <w:p w:rsidR="002C0F17" w:rsidRDefault="0030538A">
      <w:pPr>
        <w:numPr>
          <w:ilvl w:val="0"/>
          <w:numId w:val="11"/>
        </w:num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>Оснащення автобусних і тролейбусних зупинок інформаційними табло з аудіо-оповіщенням.</w:t>
      </w:r>
    </w:p>
    <w:p w:rsidR="002C0F17" w:rsidRDefault="0030538A">
      <w:pPr>
        <w:numPr>
          <w:ilvl w:val="0"/>
          <w:numId w:val="11"/>
        </w:num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 xml:space="preserve">Облаштування зручних зупинок громадського транспорту для людей з інвалідністю та </w:t>
      </w:r>
      <w:proofErr w:type="spellStart"/>
      <w:r>
        <w:rPr>
          <w:rFonts w:ascii="Times New Roman" w:hAnsi="Times New Roman"/>
          <w:sz w:val="28"/>
          <w:szCs w:val="28"/>
          <w:highlight w:val="yellow"/>
        </w:rPr>
        <w:t>маломобільних</w:t>
      </w:r>
      <w:proofErr w:type="spellEnd"/>
      <w:r>
        <w:rPr>
          <w:rFonts w:ascii="Times New Roman" w:hAnsi="Times New Roman"/>
          <w:sz w:val="28"/>
          <w:szCs w:val="28"/>
          <w:highlight w:val="yellow"/>
        </w:rPr>
        <w:t xml:space="preserve"> груп.</w:t>
      </w:r>
    </w:p>
    <w:p w:rsidR="002C0F17" w:rsidRDefault="0030538A">
      <w:p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>3. Інклюзивні майданчики для всіх</w:t>
      </w:r>
    </w:p>
    <w:p w:rsidR="002C0F17" w:rsidRDefault="0030538A">
      <w:pPr>
        <w:numPr>
          <w:ilvl w:val="0"/>
          <w:numId w:val="12"/>
        </w:num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>Встановлення тренажерів для людей з інвалідністю.</w:t>
      </w:r>
    </w:p>
    <w:p w:rsidR="002C0F17" w:rsidRDefault="0030538A">
      <w:pPr>
        <w:numPr>
          <w:ilvl w:val="0"/>
          <w:numId w:val="12"/>
        </w:num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>Створення дитячих майданчиків із гойдалками та ігровими зонами, адаптованими для дітей із інвалідністю.</w:t>
      </w:r>
    </w:p>
    <w:p w:rsidR="002C0F17" w:rsidRDefault="0030538A">
      <w:pPr>
        <w:numPr>
          <w:ilvl w:val="0"/>
          <w:numId w:val="12"/>
        </w:num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 xml:space="preserve">Спортивні майданчики, пристосовані для </w:t>
      </w:r>
      <w:proofErr w:type="spellStart"/>
      <w:r>
        <w:rPr>
          <w:rFonts w:ascii="Times New Roman" w:hAnsi="Times New Roman"/>
          <w:sz w:val="28"/>
          <w:szCs w:val="28"/>
          <w:highlight w:val="yellow"/>
        </w:rPr>
        <w:t>маломобільних</w:t>
      </w:r>
      <w:proofErr w:type="spellEnd"/>
      <w:r>
        <w:rPr>
          <w:rFonts w:ascii="Times New Roman" w:hAnsi="Times New Roman"/>
          <w:sz w:val="28"/>
          <w:szCs w:val="28"/>
          <w:highlight w:val="yellow"/>
        </w:rPr>
        <w:t xml:space="preserve"> груп населення та людей з інвалідністю.</w:t>
      </w:r>
    </w:p>
    <w:p w:rsidR="002C0F17" w:rsidRDefault="0030538A">
      <w:pPr>
        <w:numPr>
          <w:ilvl w:val="0"/>
          <w:numId w:val="12"/>
        </w:num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>Облаштування зон для спілкування дітей з різними потребами.</w:t>
      </w:r>
    </w:p>
    <w:p w:rsidR="002C0F17" w:rsidRDefault="0030538A">
      <w:p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 xml:space="preserve">4. Освітні та культурні </w:t>
      </w:r>
      <w:proofErr w:type="spellStart"/>
      <w:r>
        <w:rPr>
          <w:rFonts w:ascii="Times New Roman" w:hAnsi="Times New Roman"/>
          <w:sz w:val="28"/>
          <w:szCs w:val="28"/>
          <w:highlight w:val="yellow"/>
        </w:rPr>
        <w:t>проєкти</w:t>
      </w:r>
      <w:proofErr w:type="spellEnd"/>
    </w:p>
    <w:p w:rsidR="002C0F17" w:rsidRDefault="0030538A">
      <w:pPr>
        <w:numPr>
          <w:ilvl w:val="0"/>
          <w:numId w:val="13"/>
        </w:num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 xml:space="preserve">Створення </w:t>
      </w:r>
      <w:proofErr w:type="spellStart"/>
      <w:r>
        <w:rPr>
          <w:rFonts w:ascii="Times New Roman" w:hAnsi="Times New Roman"/>
          <w:sz w:val="28"/>
          <w:szCs w:val="28"/>
          <w:highlight w:val="yellow"/>
        </w:rPr>
        <w:t>аудіогідів</w:t>
      </w:r>
      <w:proofErr w:type="spellEnd"/>
      <w:r>
        <w:rPr>
          <w:rFonts w:ascii="Times New Roman" w:hAnsi="Times New Roman"/>
          <w:sz w:val="28"/>
          <w:szCs w:val="28"/>
          <w:highlight w:val="yellow"/>
        </w:rPr>
        <w:t xml:space="preserve"> у музеях та бібліотеках для людей з порушенням зору.</w:t>
      </w:r>
    </w:p>
    <w:p w:rsidR="002C0F17" w:rsidRDefault="0030538A">
      <w:pPr>
        <w:numPr>
          <w:ilvl w:val="0"/>
          <w:numId w:val="13"/>
        </w:num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>Встановлення систем індукційного зв’язку для людей із вадами слуху в театрах, кінотеатрах, навчальних закладах.</w:t>
      </w:r>
    </w:p>
    <w:p w:rsidR="002C0F17" w:rsidRDefault="0030538A">
      <w:pPr>
        <w:numPr>
          <w:ilvl w:val="0"/>
          <w:numId w:val="13"/>
        </w:num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>Створення інклюзивних навчальних програм у школах та інших освітніх закладах.</w:t>
      </w:r>
    </w:p>
    <w:p w:rsidR="002C0F17" w:rsidRDefault="0030538A">
      <w:p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>5. Доступ до медичних послуг</w:t>
      </w:r>
    </w:p>
    <w:p w:rsidR="002C0F17" w:rsidRDefault="0030538A">
      <w:pPr>
        <w:numPr>
          <w:ilvl w:val="0"/>
          <w:numId w:val="14"/>
        </w:num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 xml:space="preserve">Облаштування медичних закладів </w:t>
      </w:r>
      <w:proofErr w:type="spellStart"/>
      <w:r>
        <w:rPr>
          <w:rFonts w:ascii="Times New Roman" w:hAnsi="Times New Roman"/>
          <w:sz w:val="28"/>
          <w:szCs w:val="28"/>
          <w:highlight w:val="yellow"/>
        </w:rPr>
        <w:t>безбар’єрними</w:t>
      </w:r>
      <w:proofErr w:type="spellEnd"/>
      <w:r>
        <w:rPr>
          <w:rFonts w:ascii="Times New Roman" w:hAnsi="Times New Roman"/>
          <w:sz w:val="28"/>
          <w:szCs w:val="28"/>
          <w:highlight w:val="yellow"/>
        </w:rPr>
        <w:t xml:space="preserve"> входами, відповідними коридорами.</w:t>
      </w:r>
    </w:p>
    <w:p w:rsidR="002C0F17" w:rsidRDefault="0030538A">
      <w:p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lastRenderedPageBreak/>
        <w:t>7. Інформаційна доступність та комунікація:</w:t>
      </w:r>
    </w:p>
    <w:p w:rsidR="002C0F17" w:rsidRDefault="0030538A">
      <w:pPr>
        <w:numPr>
          <w:ilvl w:val="0"/>
          <w:numId w:val="15"/>
        </w:num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 xml:space="preserve">Розміщення текстів шрифтом </w:t>
      </w:r>
      <w:proofErr w:type="spellStart"/>
      <w:r>
        <w:rPr>
          <w:rFonts w:ascii="Times New Roman" w:hAnsi="Times New Roman"/>
          <w:sz w:val="28"/>
          <w:szCs w:val="28"/>
          <w:highlight w:val="yellow"/>
        </w:rPr>
        <w:t>Брайля</w:t>
      </w:r>
      <w:proofErr w:type="spellEnd"/>
      <w:r>
        <w:rPr>
          <w:rFonts w:ascii="Times New Roman" w:hAnsi="Times New Roman"/>
          <w:sz w:val="28"/>
          <w:szCs w:val="28"/>
          <w:highlight w:val="yellow"/>
        </w:rPr>
        <w:t xml:space="preserve"> на вказівниках, табличках чи інформаційних стендах.</w:t>
      </w:r>
    </w:p>
    <w:p w:rsidR="002C0F17" w:rsidRDefault="0030538A">
      <w:pPr>
        <w:numPr>
          <w:ilvl w:val="0"/>
          <w:numId w:val="15"/>
        </w:num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 xml:space="preserve">Розробка освітніх програм із популяризації </w:t>
      </w:r>
      <w:proofErr w:type="spellStart"/>
      <w:r>
        <w:rPr>
          <w:rFonts w:ascii="Times New Roman" w:hAnsi="Times New Roman"/>
          <w:sz w:val="28"/>
          <w:szCs w:val="28"/>
          <w:highlight w:val="yellow"/>
        </w:rPr>
        <w:t>безбар’єрності</w:t>
      </w:r>
      <w:proofErr w:type="spellEnd"/>
      <w:r>
        <w:rPr>
          <w:rFonts w:ascii="Times New Roman" w:hAnsi="Times New Roman"/>
          <w:sz w:val="28"/>
          <w:szCs w:val="28"/>
          <w:highlight w:val="yellow"/>
        </w:rPr>
        <w:t xml:space="preserve"> серед мешканців громади.</w:t>
      </w:r>
    </w:p>
    <w:p w:rsidR="002C0F17" w:rsidRDefault="0030538A">
      <w:pPr>
        <w:numPr>
          <w:ilvl w:val="0"/>
          <w:numId w:val="15"/>
        </w:num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>Встановлення інформаційних терміналів з аудіо-підказками в міських зонах.</w:t>
      </w:r>
    </w:p>
    <w:sectPr w:rsidR="002C0F17">
      <w:pgSz w:w="11906" w:h="16838"/>
      <w:pgMar w:top="850" w:right="850" w:bottom="850" w:left="198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47C0"/>
    <w:multiLevelType w:val="hybridMultilevel"/>
    <w:tmpl w:val="4BD6B8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9202D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78A4"/>
    <w:multiLevelType w:val="hybridMultilevel"/>
    <w:tmpl w:val="0302CA04"/>
    <w:lvl w:ilvl="0" w:tplc="042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D5523A5"/>
    <w:multiLevelType w:val="multilevel"/>
    <w:tmpl w:val="4EC2EC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FFB0A7E"/>
    <w:multiLevelType w:val="multilevel"/>
    <w:tmpl w:val="88D2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200E6A16"/>
    <w:multiLevelType w:val="multilevel"/>
    <w:tmpl w:val="527E405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" w15:restartNumberingAfterBreak="0">
    <w:nsid w:val="20D9664D"/>
    <w:multiLevelType w:val="multilevel"/>
    <w:tmpl w:val="A40037D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6" w15:restartNumberingAfterBreak="0">
    <w:nsid w:val="2D2812F6"/>
    <w:multiLevelType w:val="hybridMultilevel"/>
    <w:tmpl w:val="C898FED0"/>
    <w:lvl w:ilvl="0" w:tplc="EB883D80">
      <w:start w:val="3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B0A34"/>
    <w:multiLevelType w:val="multilevel"/>
    <w:tmpl w:val="30B4F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34D92FB8"/>
    <w:multiLevelType w:val="multilevel"/>
    <w:tmpl w:val="C4C2E50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9" w15:restartNumberingAfterBreak="0">
    <w:nsid w:val="37795DBF"/>
    <w:multiLevelType w:val="hybridMultilevel"/>
    <w:tmpl w:val="76CAA9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953EB3"/>
    <w:multiLevelType w:val="multilevel"/>
    <w:tmpl w:val="1B68CDB4"/>
    <w:lvl w:ilvl="0">
      <w:start w:val="32"/>
      <w:numFmt w:val="decimal"/>
      <w:lvlText w:val="%1."/>
      <w:lvlJc w:val="left"/>
      <w:pPr>
        <w:ind w:left="792" w:hanging="792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1152" w:hanging="792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512" w:hanging="792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872" w:hanging="792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eastAsia="Times New Roman" w:hAnsi="Times New Roman" w:cs="Times New Roman" w:hint="default"/>
        <w:color w:val="000000"/>
        <w:sz w:val="28"/>
      </w:rPr>
    </w:lvl>
  </w:abstractNum>
  <w:abstractNum w:abstractNumId="11" w15:restartNumberingAfterBreak="0">
    <w:nsid w:val="42933B0F"/>
    <w:multiLevelType w:val="multilevel"/>
    <w:tmpl w:val="E454F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4B2E5AE4"/>
    <w:multiLevelType w:val="multilevel"/>
    <w:tmpl w:val="689A7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4E100AB7"/>
    <w:multiLevelType w:val="multilevel"/>
    <w:tmpl w:val="79AC4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4E3F7D93"/>
    <w:multiLevelType w:val="multilevel"/>
    <w:tmpl w:val="A47E0C9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4730482"/>
    <w:multiLevelType w:val="multilevel"/>
    <w:tmpl w:val="53F2CC7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862"/>
        </w:tabs>
        <w:ind w:left="862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1942"/>
        </w:tabs>
        <w:ind w:left="1942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022"/>
        </w:tabs>
        <w:ind w:left="3022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5AFE1370"/>
    <w:multiLevelType w:val="multilevel"/>
    <w:tmpl w:val="C5FA8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17" w15:restartNumberingAfterBreak="0">
    <w:nsid w:val="67F149B7"/>
    <w:multiLevelType w:val="multilevel"/>
    <w:tmpl w:val="72C0AD7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8" w15:restartNumberingAfterBreak="0">
    <w:nsid w:val="690D76C0"/>
    <w:multiLevelType w:val="multilevel"/>
    <w:tmpl w:val="0356705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9" w15:restartNumberingAfterBreak="0">
    <w:nsid w:val="7957612B"/>
    <w:multiLevelType w:val="hybridMultilevel"/>
    <w:tmpl w:val="D26031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F21865"/>
    <w:multiLevelType w:val="hybridMultilevel"/>
    <w:tmpl w:val="0672AB10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D1D06E5"/>
    <w:multiLevelType w:val="multilevel"/>
    <w:tmpl w:val="84BE070A"/>
    <w:lvl w:ilvl="0">
      <w:start w:val="3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92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D2B2280"/>
    <w:multiLevelType w:val="multilevel"/>
    <w:tmpl w:val="6A328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num w:numId="1">
    <w:abstractNumId w:val="2"/>
  </w:num>
  <w:num w:numId="2">
    <w:abstractNumId w:val="14"/>
  </w:num>
  <w:num w:numId="3">
    <w:abstractNumId w:val="22"/>
  </w:num>
  <w:num w:numId="4">
    <w:abstractNumId w:val="11"/>
  </w:num>
  <w:num w:numId="5">
    <w:abstractNumId w:val="18"/>
  </w:num>
  <w:num w:numId="6">
    <w:abstractNumId w:val="4"/>
  </w:num>
  <w:num w:numId="7">
    <w:abstractNumId w:val="5"/>
  </w:num>
  <w:num w:numId="8">
    <w:abstractNumId w:val="17"/>
  </w:num>
  <w:num w:numId="9">
    <w:abstractNumId w:val="8"/>
  </w:num>
  <w:num w:numId="10">
    <w:abstractNumId w:val="15"/>
  </w:num>
  <w:num w:numId="11">
    <w:abstractNumId w:val="12"/>
  </w:num>
  <w:num w:numId="12">
    <w:abstractNumId w:val="16"/>
  </w:num>
  <w:num w:numId="13">
    <w:abstractNumId w:val="13"/>
  </w:num>
  <w:num w:numId="14">
    <w:abstractNumId w:val="3"/>
  </w:num>
  <w:num w:numId="15">
    <w:abstractNumId w:val="7"/>
  </w:num>
  <w:num w:numId="16">
    <w:abstractNumId w:val="6"/>
  </w:num>
  <w:num w:numId="17">
    <w:abstractNumId w:val="10"/>
  </w:num>
  <w:num w:numId="18">
    <w:abstractNumId w:val="21"/>
  </w:num>
  <w:num w:numId="19">
    <w:abstractNumId w:val="0"/>
  </w:num>
  <w:num w:numId="20">
    <w:abstractNumId w:val="20"/>
  </w:num>
  <w:num w:numId="21">
    <w:abstractNumId w:val="9"/>
  </w:num>
  <w:num w:numId="22">
    <w:abstractNumId w:val="19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F17"/>
    <w:rsid w:val="00004377"/>
    <w:rsid w:val="00014F1C"/>
    <w:rsid w:val="00021630"/>
    <w:rsid w:val="000A44FF"/>
    <w:rsid w:val="001156BD"/>
    <w:rsid w:val="001473FB"/>
    <w:rsid w:val="0016151E"/>
    <w:rsid w:val="001763AC"/>
    <w:rsid w:val="00190587"/>
    <w:rsid w:val="001C7596"/>
    <w:rsid w:val="001E485A"/>
    <w:rsid w:val="001F198B"/>
    <w:rsid w:val="002633BA"/>
    <w:rsid w:val="002933A3"/>
    <w:rsid w:val="002939AC"/>
    <w:rsid w:val="002C0F17"/>
    <w:rsid w:val="002C4A4F"/>
    <w:rsid w:val="0030538A"/>
    <w:rsid w:val="00312C6D"/>
    <w:rsid w:val="003313B8"/>
    <w:rsid w:val="003726BB"/>
    <w:rsid w:val="0037750B"/>
    <w:rsid w:val="003B7051"/>
    <w:rsid w:val="003C0FDA"/>
    <w:rsid w:val="003D5AD1"/>
    <w:rsid w:val="003E3AC5"/>
    <w:rsid w:val="00460A9F"/>
    <w:rsid w:val="0048440F"/>
    <w:rsid w:val="004B02CA"/>
    <w:rsid w:val="004E0243"/>
    <w:rsid w:val="0050223F"/>
    <w:rsid w:val="0051392D"/>
    <w:rsid w:val="00520625"/>
    <w:rsid w:val="0053297C"/>
    <w:rsid w:val="00533B6C"/>
    <w:rsid w:val="005934BA"/>
    <w:rsid w:val="0059720F"/>
    <w:rsid w:val="005C05ED"/>
    <w:rsid w:val="005D756D"/>
    <w:rsid w:val="006A7E02"/>
    <w:rsid w:val="0071047D"/>
    <w:rsid w:val="0076224C"/>
    <w:rsid w:val="007A04F7"/>
    <w:rsid w:val="00824607"/>
    <w:rsid w:val="008526FB"/>
    <w:rsid w:val="00881ECD"/>
    <w:rsid w:val="008C0CA5"/>
    <w:rsid w:val="008D59BD"/>
    <w:rsid w:val="00900719"/>
    <w:rsid w:val="00942042"/>
    <w:rsid w:val="00967160"/>
    <w:rsid w:val="00981E46"/>
    <w:rsid w:val="009F5383"/>
    <w:rsid w:val="00A024B8"/>
    <w:rsid w:val="00A138C3"/>
    <w:rsid w:val="00A20A33"/>
    <w:rsid w:val="00A9605C"/>
    <w:rsid w:val="00AF0ED8"/>
    <w:rsid w:val="00B115EF"/>
    <w:rsid w:val="00B70C48"/>
    <w:rsid w:val="00B75CA2"/>
    <w:rsid w:val="00B80EA0"/>
    <w:rsid w:val="00C25525"/>
    <w:rsid w:val="00CB1574"/>
    <w:rsid w:val="00CE42A4"/>
    <w:rsid w:val="00CF425B"/>
    <w:rsid w:val="00CF6CA9"/>
    <w:rsid w:val="00D06D8F"/>
    <w:rsid w:val="00D61F31"/>
    <w:rsid w:val="00D66DC3"/>
    <w:rsid w:val="00DC4AE2"/>
    <w:rsid w:val="00DC6DB5"/>
    <w:rsid w:val="00E15386"/>
    <w:rsid w:val="00E571C6"/>
    <w:rsid w:val="00EB75DA"/>
    <w:rsid w:val="00F030B9"/>
    <w:rsid w:val="00F5211F"/>
    <w:rsid w:val="00F71D9B"/>
    <w:rsid w:val="00FE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B41338-4F61-4750-A3FB-3547AF4ED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paragraph" w:styleId="1">
    <w:name w:val="heading 1"/>
    <w:basedOn w:val="a"/>
    <w:uiPriority w:val="9"/>
    <w:qFormat/>
    <w:rsid w:val="00E6261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uiPriority w:val="9"/>
    <w:qFormat/>
    <w:rsid w:val="00E62611"/>
    <w:rPr>
      <w:rFonts w:ascii="Times New Roman" w:eastAsia="Times New Roman" w:hAnsi="Times New Roman" w:cs="Times New Roman"/>
      <w:b/>
      <w:bCs/>
      <w:kern w:val="2"/>
      <w:sz w:val="48"/>
      <w:szCs w:val="48"/>
      <w:lang w:eastAsia="uk-UA"/>
    </w:rPr>
  </w:style>
  <w:style w:type="character" w:customStyle="1" w:styleId="InternetLink">
    <w:name w:val="Internet Link"/>
    <w:basedOn w:val="a0"/>
    <w:uiPriority w:val="99"/>
    <w:unhideWhenUsed/>
    <w:rsid w:val="00E62611"/>
    <w:rPr>
      <w:color w:val="0000FF"/>
      <w:u w:val="single"/>
    </w:rPr>
  </w:style>
  <w:style w:type="character" w:customStyle="1" w:styleId="apple-tab-span">
    <w:name w:val="apple-tab-span"/>
    <w:basedOn w:val="a0"/>
    <w:qFormat/>
    <w:rsid w:val="00E62611"/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rFonts w:ascii="Times New Roman" w:hAnsi="Times New Roman" w:cs="Times New Roman"/>
      <w:sz w:val="28"/>
      <w:szCs w:val="28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ascii="Times New Roman" w:hAnsi="Times New Roman" w:cs="Times New Roman"/>
      <w:sz w:val="28"/>
      <w:szCs w:val="28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ListLabel379">
    <w:name w:val="ListLabel 379"/>
    <w:qFormat/>
    <w:rPr>
      <w:rFonts w:cs="Symbol"/>
      <w:sz w:val="24"/>
    </w:rPr>
  </w:style>
  <w:style w:type="character" w:customStyle="1" w:styleId="ListLabel380">
    <w:name w:val="ListLabel 380"/>
    <w:qFormat/>
    <w:rPr>
      <w:rFonts w:cs="Courier New"/>
      <w:sz w:val="20"/>
    </w:rPr>
  </w:style>
  <w:style w:type="character" w:customStyle="1" w:styleId="ListLabel381">
    <w:name w:val="ListLabel 381"/>
    <w:qFormat/>
    <w:rPr>
      <w:rFonts w:cs="Wingdings"/>
      <w:sz w:val="20"/>
    </w:rPr>
  </w:style>
  <w:style w:type="character" w:customStyle="1" w:styleId="ListLabel382">
    <w:name w:val="ListLabel 382"/>
    <w:qFormat/>
    <w:rPr>
      <w:rFonts w:cs="Wingdings"/>
      <w:sz w:val="20"/>
    </w:rPr>
  </w:style>
  <w:style w:type="character" w:customStyle="1" w:styleId="ListLabel383">
    <w:name w:val="ListLabel 383"/>
    <w:qFormat/>
    <w:rPr>
      <w:rFonts w:cs="Wingdings"/>
      <w:sz w:val="20"/>
    </w:rPr>
  </w:style>
  <w:style w:type="character" w:customStyle="1" w:styleId="ListLabel384">
    <w:name w:val="ListLabel 384"/>
    <w:qFormat/>
    <w:rPr>
      <w:rFonts w:cs="Wingdings"/>
      <w:sz w:val="20"/>
    </w:rPr>
  </w:style>
  <w:style w:type="character" w:customStyle="1" w:styleId="ListLabel385">
    <w:name w:val="ListLabel 385"/>
    <w:qFormat/>
    <w:rPr>
      <w:rFonts w:cs="Wingdings"/>
      <w:sz w:val="20"/>
    </w:rPr>
  </w:style>
  <w:style w:type="character" w:customStyle="1" w:styleId="ListLabel386">
    <w:name w:val="ListLabel 386"/>
    <w:qFormat/>
    <w:rPr>
      <w:rFonts w:cs="Wingdings"/>
      <w:sz w:val="20"/>
    </w:rPr>
  </w:style>
  <w:style w:type="character" w:customStyle="1" w:styleId="ListLabel387">
    <w:name w:val="ListLabel 387"/>
    <w:qFormat/>
    <w:rPr>
      <w:rFonts w:cs="Wingdings"/>
      <w:sz w:val="20"/>
    </w:rPr>
  </w:style>
  <w:style w:type="character" w:customStyle="1" w:styleId="ListLabel370">
    <w:name w:val="ListLabel 370"/>
    <w:qFormat/>
    <w:rPr>
      <w:rFonts w:cs="Symbol"/>
      <w:sz w:val="24"/>
    </w:rPr>
  </w:style>
  <w:style w:type="character" w:customStyle="1" w:styleId="ListLabel371">
    <w:name w:val="ListLabel 371"/>
    <w:qFormat/>
    <w:rPr>
      <w:rFonts w:cs="Courier New"/>
      <w:sz w:val="20"/>
    </w:rPr>
  </w:style>
  <w:style w:type="character" w:customStyle="1" w:styleId="ListLabel372">
    <w:name w:val="ListLabel 372"/>
    <w:qFormat/>
    <w:rPr>
      <w:rFonts w:cs="Wingdings"/>
      <w:sz w:val="20"/>
    </w:rPr>
  </w:style>
  <w:style w:type="character" w:customStyle="1" w:styleId="ListLabel373">
    <w:name w:val="ListLabel 373"/>
    <w:qFormat/>
    <w:rPr>
      <w:rFonts w:cs="Wingdings"/>
      <w:sz w:val="20"/>
    </w:rPr>
  </w:style>
  <w:style w:type="character" w:customStyle="1" w:styleId="ListLabel374">
    <w:name w:val="ListLabel 374"/>
    <w:qFormat/>
    <w:rPr>
      <w:rFonts w:cs="Wingdings"/>
      <w:sz w:val="20"/>
    </w:rPr>
  </w:style>
  <w:style w:type="character" w:customStyle="1" w:styleId="ListLabel375">
    <w:name w:val="ListLabel 375"/>
    <w:qFormat/>
    <w:rPr>
      <w:rFonts w:cs="Wingdings"/>
      <w:sz w:val="20"/>
    </w:rPr>
  </w:style>
  <w:style w:type="character" w:customStyle="1" w:styleId="ListLabel376">
    <w:name w:val="ListLabel 376"/>
    <w:qFormat/>
    <w:rPr>
      <w:rFonts w:cs="Wingdings"/>
      <w:sz w:val="20"/>
    </w:rPr>
  </w:style>
  <w:style w:type="character" w:customStyle="1" w:styleId="ListLabel377">
    <w:name w:val="ListLabel 377"/>
    <w:qFormat/>
    <w:rPr>
      <w:rFonts w:cs="Wingdings"/>
      <w:sz w:val="20"/>
    </w:rPr>
  </w:style>
  <w:style w:type="character" w:customStyle="1" w:styleId="ListLabel378">
    <w:name w:val="ListLabel 378"/>
    <w:qFormat/>
    <w:rPr>
      <w:rFonts w:cs="Wingdings"/>
      <w:sz w:val="20"/>
    </w:rPr>
  </w:style>
  <w:style w:type="character" w:customStyle="1" w:styleId="ListLabel388">
    <w:name w:val="ListLabel 388"/>
    <w:qFormat/>
    <w:rPr>
      <w:rFonts w:ascii="Times New Roman" w:hAnsi="Times New Roman" w:cs="OpenSymbol"/>
      <w:sz w:val="24"/>
    </w:rPr>
  </w:style>
  <w:style w:type="character" w:customStyle="1" w:styleId="ListLabel389">
    <w:name w:val="ListLabel 389"/>
    <w:qFormat/>
    <w:rPr>
      <w:rFonts w:cs="OpenSymbol"/>
    </w:rPr>
  </w:style>
  <w:style w:type="character" w:customStyle="1" w:styleId="ListLabel390">
    <w:name w:val="ListLabel 390"/>
    <w:qFormat/>
    <w:rPr>
      <w:rFonts w:cs="OpenSymbol"/>
    </w:rPr>
  </w:style>
  <w:style w:type="character" w:customStyle="1" w:styleId="ListLabel391">
    <w:name w:val="ListLabel 391"/>
    <w:qFormat/>
    <w:rPr>
      <w:rFonts w:cs="OpenSymbol"/>
    </w:rPr>
  </w:style>
  <w:style w:type="character" w:customStyle="1" w:styleId="ListLabel392">
    <w:name w:val="ListLabel 392"/>
    <w:qFormat/>
    <w:rPr>
      <w:rFonts w:cs="OpenSymbol"/>
    </w:rPr>
  </w:style>
  <w:style w:type="character" w:customStyle="1" w:styleId="ListLabel393">
    <w:name w:val="ListLabel 393"/>
    <w:qFormat/>
    <w:rPr>
      <w:rFonts w:cs="OpenSymbol"/>
    </w:rPr>
  </w:style>
  <w:style w:type="character" w:customStyle="1" w:styleId="ListLabel394">
    <w:name w:val="ListLabel 394"/>
    <w:qFormat/>
    <w:rPr>
      <w:rFonts w:cs="OpenSymbol"/>
    </w:rPr>
  </w:style>
  <w:style w:type="character" w:customStyle="1" w:styleId="ListLabel395">
    <w:name w:val="ListLabel 395"/>
    <w:qFormat/>
    <w:rPr>
      <w:rFonts w:cs="OpenSymbol"/>
    </w:rPr>
  </w:style>
  <w:style w:type="character" w:customStyle="1" w:styleId="ListLabel396">
    <w:name w:val="ListLabel 396"/>
    <w:qFormat/>
    <w:rPr>
      <w:rFonts w:cs="OpenSymbol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"/>
    </w:rPr>
  </w:style>
  <w:style w:type="paragraph" w:customStyle="1" w:styleId="msonormal0">
    <w:name w:val="msonormal"/>
    <w:basedOn w:val="a"/>
    <w:qFormat/>
    <w:rsid w:val="00E6261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qFormat/>
    <w:rsid w:val="00E6261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CC1B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utt.ly/PwKCRBL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8BBA5-D1E9-4FCF-904A-74F4217F3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29387</Words>
  <Characters>16751</Characters>
  <Application>Microsoft Office Word</Application>
  <DocSecurity>0</DocSecurity>
  <Lines>139</Lines>
  <Paragraphs>92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dc:description/>
  <cp:lastModifiedBy>Admin</cp:lastModifiedBy>
  <cp:revision>2</cp:revision>
  <dcterms:created xsi:type="dcterms:W3CDTF">2025-02-20T15:04:00Z</dcterms:created>
  <dcterms:modified xsi:type="dcterms:W3CDTF">2025-02-20T15:04:00Z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